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1"/>
        <w:tblW w:w="11487" w:type="dxa"/>
        <w:tblLayout w:type="fixed"/>
        <w:tblCellMar>
          <w:left w:w="80" w:type="dxa"/>
          <w:right w:w="80" w:type="dxa"/>
        </w:tblCellMar>
        <w:tblLook w:val="0000" w:firstRow="0" w:lastRow="0" w:firstColumn="0" w:lastColumn="0" w:noHBand="0" w:noVBand="0"/>
      </w:tblPr>
      <w:tblGrid>
        <w:gridCol w:w="2325"/>
        <w:gridCol w:w="6170"/>
        <w:gridCol w:w="2992"/>
      </w:tblGrid>
      <w:tr w:rsidR="00D00A7D" w:rsidRPr="00F4466D" w:rsidTr="007848A5">
        <w:trPr>
          <w:cantSplit/>
        </w:trPr>
        <w:tc>
          <w:tcPr>
            <w:tcW w:w="2325" w:type="dxa"/>
          </w:tcPr>
          <w:p w:rsidR="00D00A7D" w:rsidRPr="00E3708E" w:rsidRDefault="00D00A7D" w:rsidP="007848A5">
            <w:pPr>
              <w:pStyle w:val="Header"/>
              <w:widowControl w:val="0"/>
              <w:tabs>
                <w:tab w:val="clear" w:pos="4320"/>
                <w:tab w:val="clear" w:pos="8640"/>
              </w:tabs>
              <w:rPr>
                <w:rFonts w:ascii="Garamond" w:hAnsi="Garamond"/>
                <w:b/>
                <w:sz w:val="6"/>
                <w:szCs w:val="6"/>
              </w:rPr>
            </w:pP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THOMAS G. HENNESSY</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JAMES P. ROACH</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JOSEPH J. HIGGINS</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EDWARD L. HENNESSY</w:t>
            </w:r>
            <w:r w:rsidRPr="00C000CA">
              <w:rPr>
                <w:rFonts w:ascii="Garamond" w:hAnsi="Garamond"/>
                <w:b/>
                <w:bCs/>
                <w:sz w:val="12"/>
                <w:szCs w:val="12"/>
              </w:rPr>
              <w:t xml:space="preserve"> ~</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 xml:space="preserve">MICHAEL P. GEARY </w:t>
            </w:r>
            <w:r w:rsidRPr="00C000CA">
              <w:rPr>
                <w:rFonts w:ascii="Garamond" w:hAnsi="Garamond"/>
                <w:b/>
                <w:bCs/>
                <w:sz w:val="12"/>
                <w:szCs w:val="12"/>
              </w:rPr>
              <w:t>ππ</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 xml:space="preserve">GUY N. MARAS </w:t>
            </w:r>
            <w:r w:rsidRPr="00C000CA">
              <w:rPr>
                <w:rFonts w:ascii="Garamond" w:hAnsi="Garamond"/>
                <w:b/>
                <w:bCs/>
                <w:sz w:val="12"/>
                <w:szCs w:val="12"/>
              </w:rPr>
              <w:t>ππ</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RICHARD A. DAY *</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JOSEPH A. ZWICK</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SHERYL R. LAPKA</w:t>
            </w:r>
            <w:r>
              <w:rPr>
                <w:rFonts w:ascii="Garamond" w:hAnsi="Garamond"/>
                <w:b/>
                <w:bCs/>
                <w:sz w:val="12"/>
              </w:rPr>
              <w:t xml:space="preserve"> </w:t>
            </w:r>
            <w:r w:rsidRPr="00903AD6">
              <w:rPr>
                <w:rFonts w:ascii="Garamond" w:hAnsi="Garamond"/>
                <w:b/>
                <w:bCs/>
                <w:sz w:val="12"/>
              </w:rPr>
              <w:t>(19</w:t>
            </w:r>
            <w:r>
              <w:rPr>
                <w:rFonts w:ascii="Garamond" w:hAnsi="Garamond"/>
                <w:b/>
                <w:bCs/>
                <w:sz w:val="12"/>
              </w:rPr>
              <w:t>72</w:t>
            </w:r>
            <w:r w:rsidRPr="00903AD6">
              <w:rPr>
                <w:rFonts w:ascii="Garamond" w:hAnsi="Garamond"/>
                <w:b/>
                <w:bCs/>
                <w:sz w:val="12"/>
              </w:rPr>
              <w:t>-2010)</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JAMES L. CLARKE</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BETSY S. WILLER π</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STEPHEN J. KLYCZEK</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MICHAEL J. HOLT π</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NATALIE J. ROMO</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MICHAEL A. GLAUB</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 xml:space="preserve">THOMAS C. FLAHERTY </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 xml:space="preserve">JASON D. KOLECKE </w:t>
            </w:r>
          </w:p>
          <w:p w:rsidR="00D00A7D" w:rsidRDefault="00D00A7D" w:rsidP="007848A5">
            <w:pPr>
              <w:pStyle w:val="Header"/>
              <w:widowControl w:val="0"/>
              <w:tabs>
                <w:tab w:val="clear" w:pos="4320"/>
                <w:tab w:val="clear" w:pos="8640"/>
              </w:tabs>
              <w:ind w:left="-80"/>
              <w:jc w:val="center"/>
              <w:rPr>
                <w:rFonts w:ascii="Garamond" w:hAnsi="Garamond"/>
                <w:b/>
                <w:bCs/>
                <w:sz w:val="9"/>
                <w:szCs w:val="9"/>
              </w:rPr>
            </w:pPr>
            <w:r w:rsidRPr="00903AD6">
              <w:rPr>
                <w:rFonts w:ascii="Garamond" w:hAnsi="Garamond"/>
                <w:b/>
                <w:bCs/>
                <w:sz w:val="12"/>
              </w:rPr>
              <w:t>JENNIFER YATES WELLER</w:t>
            </w:r>
            <w:r w:rsidRPr="00C000CA">
              <w:rPr>
                <w:rFonts w:ascii="Garamond" w:hAnsi="Garamond"/>
                <w:b/>
                <w:bCs/>
                <w:sz w:val="12"/>
                <w:szCs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EMILIE A. MILLER</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GUY E. DITURI</w:t>
            </w:r>
          </w:p>
          <w:p w:rsidR="00D00A7D" w:rsidRDefault="00D00A7D" w:rsidP="007848A5">
            <w:pPr>
              <w:pStyle w:val="Header"/>
              <w:widowControl w:val="0"/>
              <w:tabs>
                <w:tab w:val="clear" w:pos="4320"/>
                <w:tab w:val="clear" w:pos="8640"/>
              </w:tabs>
              <w:ind w:left="-80"/>
              <w:jc w:val="center"/>
              <w:rPr>
                <w:rFonts w:ascii="Garamond" w:hAnsi="Garamond"/>
                <w:b/>
                <w:bCs/>
                <w:sz w:val="9"/>
                <w:szCs w:val="9"/>
              </w:rPr>
            </w:pPr>
            <w:r w:rsidRPr="00903AD6">
              <w:rPr>
                <w:rFonts w:ascii="Garamond" w:hAnsi="Garamond"/>
                <w:b/>
                <w:bCs/>
                <w:sz w:val="12"/>
              </w:rPr>
              <w:t>JASON R. PEARLMAN</w:t>
            </w:r>
            <w:r w:rsidRPr="00903AD6">
              <w:rPr>
                <w:rFonts w:ascii="Garamond" w:hAnsi="Garamond"/>
                <w:b/>
                <w:bCs/>
                <w:sz w:val="9"/>
                <w:szCs w:val="9"/>
              </w:rPr>
              <w:t xml:space="preserve"> </w:t>
            </w:r>
            <w:r w:rsidRPr="00C000CA">
              <w:rPr>
                <w:rFonts w:ascii="Garamond" w:hAnsi="Garamond"/>
                <w:b/>
                <w:bCs/>
                <w:sz w:val="12"/>
                <w:szCs w:val="12"/>
              </w:rPr>
              <w:t>ππ</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 xml:space="preserve"> THOMAS P. CRONIN</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rPr>
              <w:t>JAMES L. HODGES</w:t>
            </w:r>
            <w:r w:rsidRPr="00C000CA">
              <w:rPr>
                <w:rFonts w:ascii="Garamond" w:hAnsi="Garamond"/>
                <w:b/>
                <w:bCs/>
                <w:sz w:val="12"/>
                <w:szCs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 xml:space="preserve">AUKSE R. GRIGALIUNAS </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PETER J. PUCHALSKI</w:t>
            </w:r>
          </w:p>
          <w:p w:rsidR="00D00A7D" w:rsidRDefault="00D00A7D" w:rsidP="007848A5">
            <w:pPr>
              <w:pStyle w:val="Header"/>
              <w:widowControl w:val="0"/>
              <w:tabs>
                <w:tab w:val="clear" w:pos="4320"/>
                <w:tab w:val="clear" w:pos="8640"/>
              </w:tabs>
              <w:ind w:left="-80"/>
              <w:jc w:val="center"/>
              <w:rPr>
                <w:rFonts w:ascii="Garamond" w:hAnsi="Garamond"/>
                <w:b/>
                <w:bCs/>
                <w:sz w:val="12"/>
              </w:rPr>
            </w:pPr>
            <w:r>
              <w:rPr>
                <w:rFonts w:ascii="Garamond" w:hAnsi="Garamond"/>
                <w:b/>
                <w:bCs/>
                <w:sz w:val="12"/>
              </w:rPr>
              <w:t>DANIEL S. WELLNER</w:t>
            </w:r>
            <w:r w:rsidRPr="00903AD6">
              <w:rPr>
                <w:rFonts w:ascii="Garamond" w:hAnsi="Garamond"/>
                <w:b/>
                <w:bCs/>
                <w:sz w:val="12"/>
              </w:rPr>
              <w:t xml:space="preserve"> </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WILLIAM F. O’BRIEN</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QUINN M. BRENNAN</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AMANDA J.</w:t>
            </w:r>
            <w:r>
              <w:rPr>
                <w:rFonts w:ascii="Garamond" w:hAnsi="Garamond"/>
                <w:b/>
                <w:bCs/>
                <w:sz w:val="12"/>
              </w:rPr>
              <w:t>B.</w:t>
            </w:r>
            <w:r w:rsidRPr="00903AD6">
              <w:rPr>
                <w:rFonts w:ascii="Garamond" w:hAnsi="Garamond"/>
                <w:b/>
                <w:bCs/>
                <w:sz w:val="12"/>
              </w:rPr>
              <w:t xml:space="preserve"> </w:t>
            </w:r>
            <w:r>
              <w:rPr>
                <w:rFonts w:ascii="Garamond" w:hAnsi="Garamond"/>
                <w:b/>
                <w:bCs/>
                <w:sz w:val="12"/>
              </w:rPr>
              <w:t>RICHERT</w:t>
            </w:r>
            <w:r w:rsidRPr="00903AD6">
              <w:rPr>
                <w:rFonts w:ascii="Garamond" w:hAnsi="Garamond"/>
                <w:b/>
                <w:bCs/>
                <w:sz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sidRPr="00B856B4">
              <w:rPr>
                <w:rFonts w:ascii="Garamond" w:hAnsi="Garamond"/>
                <w:b/>
                <w:bCs/>
                <w:sz w:val="12"/>
                <w:szCs w:val="12"/>
              </w:rPr>
              <w:t>JOSHUA B. STEGEMAN 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RUBINA KHALEEL#*</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 xml:space="preserve">GUY R. SPAYTH, JR. </w:t>
            </w:r>
          </w:p>
          <w:p w:rsidR="00D00A7D"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MITZI J. HENIFF</w:t>
            </w:r>
          </w:p>
          <w:p w:rsidR="00D00A7D" w:rsidRDefault="00D00A7D" w:rsidP="007848A5">
            <w:pPr>
              <w:pStyle w:val="Header"/>
              <w:widowControl w:val="0"/>
              <w:tabs>
                <w:tab w:val="clear" w:pos="4320"/>
                <w:tab w:val="clear" w:pos="8640"/>
              </w:tabs>
              <w:ind w:left="-80"/>
              <w:jc w:val="center"/>
              <w:rPr>
                <w:rFonts w:ascii="Garamond" w:hAnsi="Garamond"/>
                <w:b/>
                <w:bCs/>
                <w:sz w:val="12"/>
              </w:rPr>
            </w:pPr>
            <w:r>
              <w:rPr>
                <w:rFonts w:ascii="Garamond" w:hAnsi="Garamond"/>
                <w:b/>
                <w:bCs/>
                <w:sz w:val="12"/>
              </w:rPr>
              <w:t xml:space="preserve">RYAN J. GUILLORY </w:t>
            </w:r>
            <w:r w:rsidRPr="00903AD6">
              <w:rPr>
                <w:rFonts w:ascii="Garamond" w:hAnsi="Garamond"/>
                <w:b/>
                <w:bCs/>
                <w:sz w:val="10"/>
                <w:szCs w:val="10"/>
              </w:rPr>
              <w:t>~~</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____________</w:t>
            </w:r>
          </w:p>
          <w:p w:rsidR="00D00A7D" w:rsidRPr="00903AD6" w:rsidRDefault="00D00A7D" w:rsidP="007848A5">
            <w:pPr>
              <w:pStyle w:val="Header"/>
              <w:widowControl w:val="0"/>
              <w:tabs>
                <w:tab w:val="clear" w:pos="4320"/>
                <w:tab w:val="clear" w:pos="8640"/>
              </w:tabs>
              <w:jc w:val="center"/>
              <w:rPr>
                <w:rFonts w:ascii="Garamond" w:hAnsi="Garamond"/>
                <w:b/>
                <w:bCs/>
                <w:sz w:val="12"/>
              </w:rPr>
            </w:pPr>
          </w:p>
          <w:p w:rsidR="00D00A7D" w:rsidRPr="00903AD6" w:rsidRDefault="00D00A7D" w:rsidP="007848A5">
            <w:pPr>
              <w:pStyle w:val="Header"/>
              <w:widowControl w:val="0"/>
              <w:tabs>
                <w:tab w:val="clear" w:pos="4320"/>
                <w:tab w:val="clear" w:pos="8640"/>
              </w:tabs>
              <w:jc w:val="center"/>
              <w:rPr>
                <w:rFonts w:ascii="Garamond" w:hAnsi="Garamond"/>
                <w:b/>
                <w:bCs/>
                <w:sz w:val="12"/>
                <w:szCs w:val="12"/>
              </w:rPr>
            </w:pPr>
            <w:r w:rsidRPr="00903AD6">
              <w:rPr>
                <w:rFonts w:ascii="Garamond" w:hAnsi="Garamond"/>
                <w:b/>
                <w:bCs/>
                <w:sz w:val="12"/>
                <w:szCs w:val="12"/>
              </w:rPr>
              <w:t>OF COUNSEL</w:t>
            </w:r>
          </w:p>
          <w:p w:rsidR="00D00A7D" w:rsidRPr="00903AD6"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P. NEILL PETRONELLA (19</w:t>
            </w:r>
            <w:r>
              <w:rPr>
                <w:rFonts w:ascii="Garamond" w:hAnsi="Garamond"/>
                <w:b/>
                <w:bCs/>
                <w:sz w:val="12"/>
              </w:rPr>
              <w:t>37</w:t>
            </w:r>
            <w:r w:rsidRPr="00903AD6">
              <w:rPr>
                <w:rFonts w:ascii="Garamond" w:hAnsi="Garamond"/>
                <w:b/>
                <w:bCs/>
                <w:sz w:val="12"/>
              </w:rPr>
              <w:t>-2010)</w:t>
            </w:r>
          </w:p>
          <w:p w:rsidR="00D00A7D" w:rsidRDefault="00D00A7D" w:rsidP="007848A5">
            <w:pPr>
              <w:pStyle w:val="Header"/>
              <w:widowControl w:val="0"/>
              <w:tabs>
                <w:tab w:val="clear" w:pos="4320"/>
                <w:tab w:val="clear" w:pos="8640"/>
              </w:tabs>
              <w:jc w:val="center"/>
              <w:rPr>
                <w:rFonts w:ascii="Garamond" w:hAnsi="Garamond"/>
                <w:b/>
                <w:bCs/>
                <w:sz w:val="12"/>
              </w:rPr>
            </w:pPr>
            <w:r w:rsidRPr="00903AD6">
              <w:rPr>
                <w:rFonts w:ascii="Garamond" w:hAnsi="Garamond"/>
                <w:b/>
                <w:bCs/>
                <w:sz w:val="12"/>
              </w:rPr>
              <w:t>JOHN J. MURPHY, JR.</w:t>
            </w:r>
          </w:p>
          <w:p w:rsidR="00D00A7D" w:rsidRDefault="00D00A7D" w:rsidP="007848A5">
            <w:pPr>
              <w:pStyle w:val="Header"/>
              <w:widowControl w:val="0"/>
              <w:tabs>
                <w:tab w:val="clear" w:pos="4320"/>
                <w:tab w:val="clear" w:pos="8640"/>
              </w:tabs>
              <w:jc w:val="center"/>
              <w:rPr>
                <w:rFonts w:ascii="Garamond" w:hAnsi="Garamond"/>
                <w:b/>
                <w:bCs/>
                <w:sz w:val="12"/>
              </w:rPr>
            </w:pPr>
            <w:r>
              <w:rPr>
                <w:rFonts w:ascii="Garamond" w:hAnsi="Garamond"/>
                <w:b/>
                <w:bCs/>
                <w:sz w:val="12"/>
              </w:rPr>
              <w:t>MICHAEL G. CONNELLY</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COLLEEN M. MCMANIGAL</w:t>
            </w:r>
          </w:p>
          <w:p w:rsidR="00D00A7D" w:rsidRPr="00903AD6" w:rsidRDefault="00D00A7D" w:rsidP="007848A5">
            <w:pPr>
              <w:pStyle w:val="Header"/>
              <w:widowControl w:val="0"/>
              <w:tabs>
                <w:tab w:val="clear" w:pos="4320"/>
                <w:tab w:val="clear" w:pos="8640"/>
              </w:tabs>
              <w:jc w:val="center"/>
              <w:rPr>
                <w:rFonts w:ascii="Garamond" w:hAnsi="Garamond"/>
                <w:b/>
                <w:bCs/>
                <w:sz w:val="12"/>
              </w:rPr>
            </w:pPr>
          </w:p>
          <w:p w:rsidR="00D00A7D" w:rsidRPr="00903AD6" w:rsidRDefault="00D00A7D" w:rsidP="007848A5">
            <w:pPr>
              <w:pStyle w:val="Header"/>
              <w:widowControl w:val="0"/>
              <w:tabs>
                <w:tab w:val="clear" w:pos="4320"/>
                <w:tab w:val="clear" w:pos="8640"/>
              </w:tabs>
              <w:rPr>
                <w:rFonts w:ascii="Garamond" w:hAnsi="Garamond"/>
                <w:b/>
                <w:sz w:val="8"/>
                <w:szCs w:val="8"/>
              </w:rPr>
            </w:pPr>
          </w:p>
        </w:tc>
        <w:tc>
          <w:tcPr>
            <w:tcW w:w="6170" w:type="dxa"/>
          </w:tcPr>
          <w:p w:rsidR="00D00A7D" w:rsidRPr="00903AD6" w:rsidRDefault="00D00A7D" w:rsidP="007848A5">
            <w:pPr>
              <w:jc w:val="center"/>
              <w:rPr>
                <w:rFonts w:ascii="Garamond" w:hAnsi="Garamond"/>
                <w:b/>
                <w:sz w:val="16"/>
              </w:rPr>
            </w:pPr>
          </w:p>
          <w:p w:rsidR="00D00A7D" w:rsidRPr="00903AD6" w:rsidRDefault="00D00A7D" w:rsidP="007848A5">
            <w:pPr>
              <w:pStyle w:val="Header"/>
              <w:widowControl w:val="0"/>
              <w:tabs>
                <w:tab w:val="clear" w:pos="4320"/>
                <w:tab w:val="clear" w:pos="8640"/>
              </w:tabs>
              <w:jc w:val="center"/>
              <w:rPr>
                <w:rFonts w:ascii="Calisto MT" w:hAnsi="Calisto MT"/>
                <w:b/>
                <w:smallCaps/>
                <w:sz w:val="36"/>
                <w:szCs w:val="36"/>
              </w:rPr>
            </w:pPr>
            <w:r w:rsidRPr="00903AD6">
              <w:rPr>
                <w:rFonts w:ascii="Calisto MT" w:hAnsi="Calisto MT"/>
                <w:b/>
                <w:smallCaps/>
                <w:sz w:val="48"/>
                <w:szCs w:val="48"/>
              </w:rPr>
              <w:t>H</w:t>
            </w:r>
            <w:r w:rsidRPr="00903AD6">
              <w:rPr>
                <w:rFonts w:ascii="Calisto MT" w:hAnsi="Calisto MT"/>
                <w:b/>
                <w:smallCaps/>
                <w:sz w:val="36"/>
                <w:szCs w:val="36"/>
              </w:rPr>
              <w:t xml:space="preserve">ENNESSY &amp; </w:t>
            </w:r>
            <w:r w:rsidRPr="00903AD6">
              <w:rPr>
                <w:rFonts w:ascii="Calisto MT" w:hAnsi="Calisto MT"/>
                <w:b/>
                <w:smallCaps/>
                <w:sz w:val="48"/>
                <w:szCs w:val="48"/>
              </w:rPr>
              <w:t>R</w:t>
            </w:r>
            <w:r w:rsidRPr="00903AD6">
              <w:rPr>
                <w:rFonts w:ascii="Calisto MT" w:hAnsi="Calisto MT"/>
                <w:b/>
                <w:smallCaps/>
                <w:sz w:val="36"/>
                <w:szCs w:val="36"/>
              </w:rPr>
              <w:t xml:space="preserve">OACH, </w:t>
            </w:r>
            <w:r w:rsidRPr="00650898">
              <w:rPr>
                <w:rFonts w:ascii="Calisto MT" w:hAnsi="Calisto MT"/>
                <w:b/>
                <w:smallCaps/>
                <w:sz w:val="48"/>
                <w:szCs w:val="48"/>
              </w:rPr>
              <w:t>P</w:t>
            </w:r>
            <w:r w:rsidRPr="00650898">
              <w:rPr>
                <w:rFonts w:ascii="Calisto MT" w:hAnsi="Calisto MT"/>
                <w:b/>
                <w:smallCaps/>
                <w:sz w:val="36"/>
                <w:szCs w:val="36"/>
              </w:rPr>
              <w:t>.</w:t>
            </w:r>
            <w:r w:rsidRPr="00650898">
              <w:rPr>
                <w:rFonts w:ascii="Calisto MT" w:hAnsi="Calisto MT"/>
                <w:b/>
                <w:smallCaps/>
                <w:sz w:val="48"/>
                <w:szCs w:val="48"/>
              </w:rPr>
              <w:t>C</w:t>
            </w:r>
            <w:r w:rsidRPr="00650898">
              <w:rPr>
                <w:rFonts w:ascii="Calisto MT" w:hAnsi="Calisto MT"/>
                <w:b/>
                <w:smallCaps/>
                <w:sz w:val="36"/>
                <w:szCs w:val="36"/>
              </w:rPr>
              <w:t>.</w:t>
            </w:r>
          </w:p>
          <w:p w:rsidR="00D00A7D" w:rsidRPr="00903AD6" w:rsidRDefault="00D00A7D" w:rsidP="007848A5">
            <w:pPr>
              <w:pStyle w:val="Header"/>
              <w:widowControl w:val="0"/>
              <w:tabs>
                <w:tab w:val="clear" w:pos="4320"/>
                <w:tab w:val="clear" w:pos="8640"/>
              </w:tabs>
              <w:jc w:val="center"/>
              <w:rPr>
                <w:rFonts w:ascii="Garamond" w:hAnsi="Garamond"/>
                <w:b/>
                <w:caps/>
                <w:szCs w:val="24"/>
              </w:rPr>
            </w:pPr>
            <w:r w:rsidRPr="00903AD6">
              <w:rPr>
                <w:rFonts w:ascii="Garamond" w:hAnsi="Garamond"/>
                <w:b/>
                <w:caps/>
                <w:szCs w:val="24"/>
              </w:rPr>
              <w:t>Attorneys At Law</w:t>
            </w: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 xml:space="preserve">140 sOUTH </w:t>
            </w:r>
            <w:smartTag w:uri="urn:schemas-microsoft-com:office:smarttags" w:element="City">
              <w:smartTag w:uri="urn:schemas-microsoft-com:office:smarttags" w:element="place">
                <w:r w:rsidRPr="00903AD6">
                  <w:rPr>
                    <w:rFonts w:ascii="Garamond" w:hAnsi="Garamond"/>
                    <w:b/>
                    <w:caps/>
                    <w:sz w:val="18"/>
                    <w:szCs w:val="18"/>
                  </w:rPr>
                  <w:t>DEARBORN</w:t>
                </w:r>
              </w:smartTag>
            </w:smartTag>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7</w:t>
            </w:r>
            <w:r w:rsidRPr="00903AD6">
              <w:rPr>
                <w:rFonts w:ascii="Garamond" w:hAnsi="Garamond"/>
                <w:b/>
                <w:caps/>
                <w:sz w:val="18"/>
                <w:szCs w:val="18"/>
                <w:vertAlign w:val="superscript"/>
              </w:rPr>
              <w:t>TH</w:t>
            </w:r>
            <w:r w:rsidRPr="00903AD6">
              <w:rPr>
                <w:rFonts w:ascii="Garamond" w:hAnsi="Garamond"/>
                <w:b/>
                <w:caps/>
                <w:sz w:val="18"/>
                <w:szCs w:val="18"/>
              </w:rPr>
              <w:t xml:space="preserve"> FLOOR</w:t>
            </w: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smartTag w:uri="urn:schemas-microsoft-com:office:smarttags" w:element="place">
              <w:smartTag w:uri="urn:schemas-microsoft-com:office:smarttags" w:element="City">
                <w:r w:rsidRPr="00903AD6">
                  <w:rPr>
                    <w:rFonts w:ascii="Garamond" w:hAnsi="Garamond"/>
                    <w:b/>
                    <w:caps/>
                    <w:sz w:val="18"/>
                    <w:szCs w:val="18"/>
                  </w:rPr>
                  <w:t>CHICAGO</w:t>
                </w:r>
              </w:smartTag>
              <w:r w:rsidRPr="00903AD6">
                <w:rPr>
                  <w:rFonts w:ascii="Garamond" w:hAnsi="Garamond"/>
                  <w:b/>
                  <w:caps/>
                  <w:sz w:val="18"/>
                  <w:szCs w:val="18"/>
                </w:rPr>
                <w:t xml:space="preserve">, </w:t>
              </w:r>
              <w:smartTag w:uri="urn:schemas-microsoft-com:office:smarttags" w:element="State">
                <w:r w:rsidRPr="00903AD6">
                  <w:rPr>
                    <w:rFonts w:ascii="Garamond" w:hAnsi="Garamond"/>
                    <w:b/>
                    <w:caps/>
                    <w:sz w:val="18"/>
                    <w:szCs w:val="18"/>
                  </w:rPr>
                  <w:t>IL</w:t>
                </w:r>
              </w:smartTag>
              <w:r w:rsidRPr="00903AD6">
                <w:rPr>
                  <w:rFonts w:ascii="Garamond" w:hAnsi="Garamond"/>
                  <w:b/>
                  <w:caps/>
                  <w:sz w:val="18"/>
                  <w:szCs w:val="18"/>
                </w:rPr>
                <w:t xml:space="preserve"> </w:t>
              </w:r>
              <w:smartTag w:uri="urn:schemas-microsoft-com:office:smarttags" w:element="PostalCode">
                <w:r w:rsidRPr="00903AD6">
                  <w:rPr>
                    <w:rFonts w:ascii="Garamond" w:hAnsi="Garamond"/>
                    <w:b/>
                    <w:caps/>
                    <w:sz w:val="18"/>
                    <w:szCs w:val="18"/>
                  </w:rPr>
                  <w:t>60603</w:t>
                </w:r>
              </w:smartTag>
            </w:smartTag>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telephone:  (312) 346-5310</w:t>
            </w: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fax:  (312) 346-5330</w:t>
            </w: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www.hennessyroach.com</w:t>
            </w:r>
          </w:p>
          <w:p w:rsidR="00D00A7D" w:rsidRPr="00903AD6" w:rsidRDefault="00D00A7D" w:rsidP="007848A5">
            <w:pPr>
              <w:pStyle w:val="Header"/>
              <w:widowControl w:val="0"/>
              <w:tabs>
                <w:tab w:val="clear" w:pos="4320"/>
                <w:tab w:val="clear" w:pos="8640"/>
              </w:tabs>
              <w:jc w:val="center"/>
              <w:rPr>
                <w:rFonts w:ascii="Garamond" w:hAnsi="Garamond"/>
                <w:b/>
                <w:caps/>
                <w:sz w:val="18"/>
                <w:szCs w:val="18"/>
              </w:rPr>
            </w:pPr>
            <w:r w:rsidRPr="00903AD6">
              <w:rPr>
                <w:rFonts w:ascii="Garamond" w:hAnsi="Garamond"/>
                <w:b/>
                <w:caps/>
                <w:sz w:val="18"/>
                <w:szCs w:val="18"/>
              </w:rPr>
              <w:t>_____________________________________________________________</w:t>
            </w:r>
          </w:p>
          <w:p w:rsidR="00D00A7D" w:rsidRPr="00903AD6" w:rsidRDefault="00D00A7D" w:rsidP="007848A5">
            <w:pPr>
              <w:jc w:val="center"/>
              <w:rPr>
                <w:rFonts w:ascii="Garamond" w:hAnsi="Garamond"/>
                <w:b/>
                <w:sz w:val="16"/>
              </w:rPr>
            </w:pPr>
          </w:p>
          <w:tbl>
            <w:tblPr>
              <w:tblW w:w="6216" w:type="dxa"/>
              <w:tblLayout w:type="fixed"/>
              <w:tblLook w:val="01E0" w:firstRow="1" w:lastRow="1" w:firstColumn="1" w:lastColumn="1" w:noHBand="0" w:noVBand="0"/>
            </w:tblPr>
            <w:tblGrid>
              <w:gridCol w:w="1924"/>
              <w:gridCol w:w="2321"/>
              <w:gridCol w:w="1971"/>
            </w:tblGrid>
            <w:tr w:rsidR="00D00A7D" w:rsidRPr="004A7FE0" w:rsidTr="007848A5">
              <w:trPr>
                <w:trHeight w:val="360"/>
              </w:trPr>
              <w:tc>
                <w:tcPr>
                  <w:tcW w:w="1924" w:type="dxa"/>
                  <w:shd w:val="clear" w:color="auto" w:fill="auto"/>
                  <w:vAlign w:val="center"/>
                </w:tcPr>
                <w:p w:rsidR="00D00A7D" w:rsidRPr="004A7FE0" w:rsidRDefault="00D00A7D" w:rsidP="006E460C">
                  <w:pPr>
                    <w:pStyle w:val="Footer"/>
                    <w:framePr w:hSpace="180" w:wrap="around" w:vAnchor="page" w:hAnchor="margin" w:xAlign="center" w:y="181"/>
                    <w:jc w:val="center"/>
                    <w:rPr>
                      <w:rFonts w:ascii="Garamond" w:hAnsi="Garamond"/>
                      <w:b/>
                      <w:sz w:val="16"/>
                      <w:szCs w:val="16"/>
                    </w:rPr>
                  </w:pPr>
                  <w:smartTag w:uri="urn:schemas-microsoft-com:office:smarttags" w:element="place">
                    <w:smartTag w:uri="urn:schemas-microsoft-com:office:smarttags" w:element="City">
                      <w:r w:rsidRPr="004A7FE0">
                        <w:rPr>
                          <w:rFonts w:ascii="Garamond" w:hAnsi="Garamond"/>
                          <w:b/>
                          <w:sz w:val="16"/>
                          <w:szCs w:val="16"/>
                        </w:rPr>
                        <w:t>ST. LOUIS</w:t>
                      </w:r>
                    </w:smartTag>
                    <w:r w:rsidRPr="004A7FE0">
                      <w:rPr>
                        <w:rFonts w:ascii="Garamond" w:hAnsi="Garamond"/>
                        <w:b/>
                        <w:sz w:val="16"/>
                        <w:szCs w:val="16"/>
                      </w:rPr>
                      <w:t xml:space="preserve">, </w:t>
                    </w:r>
                    <w:smartTag w:uri="urn:schemas-microsoft-com:office:smarttags" w:element="State">
                      <w:r w:rsidRPr="004A7FE0">
                        <w:rPr>
                          <w:rFonts w:ascii="Garamond" w:hAnsi="Garamond"/>
                          <w:b/>
                          <w:sz w:val="16"/>
                          <w:szCs w:val="16"/>
                        </w:rPr>
                        <w:t>MO</w:t>
                      </w:r>
                    </w:smartTag>
                  </w:smartTag>
                </w:p>
                <w:p w:rsidR="00D00A7D" w:rsidRPr="004A7FE0" w:rsidRDefault="00D00A7D" w:rsidP="006E460C">
                  <w:pPr>
                    <w:pStyle w:val="Footer"/>
                    <w:framePr w:hSpace="180" w:wrap="around" w:vAnchor="page" w:hAnchor="margin" w:xAlign="center" w:y="181"/>
                    <w:jc w:val="center"/>
                    <w:rPr>
                      <w:rFonts w:ascii="Garamond" w:hAnsi="Garamond"/>
                      <w:b/>
                      <w:sz w:val="16"/>
                      <w:szCs w:val="16"/>
                    </w:rPr>
                  </w:pPr>
                  <w:r w:rsidRPr="004A7FE0">
                    <w:rPr>
                      <w:rFonts w:ascii="Garamond" w:hAnsi="Garamond"/>
                      <w:b/>
                      <w:sz w:val="16"/>
                      <w:szCs w:val="16"/>
                    </w:rPr>
                    <w:t>314-231-0770</w:t>
                  </w:r>
                </w:p>
              </w:tc>
              <w:tc>
                <w:tcPr>
                  <w:tcW w:w="2321" w:type="dxa"/>
                  <w:shd w:val="clear" w:color="auto" w:fill="auto"/>
                </w:tcPr>
                <w:p w:rsidR="00D00A7D" w:rsidRPr="004A7FE0" w:rsidRDefault="00D00A7D" w:rsidP="006E460C">
                  <w:pPr>
                    <w:pStyle w:val="Footer"/>
                    <w:framePr w:hSpace="180" w:wrap="around" w:vAnchor="page" w:hAnchor="margin" w:xAlign="center" w:y="181"/>
                    <w:jc w:val="center"/>
                    <w:rPr>
                      <w:rFonts w:ascii="Garamond" w:hAnsi="Garamond"/>
                      <w:b/>
                      <w:sz w:val="16"/>
                      <w:szCs w:val="16"/>
                    </w:rPr>
                  </w:pPr>
                  <w:smartTag w:uri="urn:schemas-microsoft-com:office:smarttags" w:element="place">
                    <w:smartTag w:uri="urn:schemas-microsoft-com:office:smarttags" w:element="City">
                      <w:r w:rsidRPr="004A7FE0">
                        <w:rPr>
                          <w:rFonts w:ascii="Garamond" w:hAnsi="Garamond"/>
                          <w:b/>
                          <w:sz w:val="16"/>
                          <w:szCs w:val="16"/>
                        </w:rPr>
                        <w:t>SPRINGFIELD</w:t>
                      </w:r>
                    </w:smartTag>
                    <w:r w:rsidRPr="004A7FE0">
                      <w:rPr>
                        <w:rFonts w:ascii="Garamond" w:hAnsi="Garamond"/>
                        <w:b/>
                        <w:sz w:val="16"/>
                        <w:szCs w:val="16"/>
                      </w:rPr>
                      <w:t xml:space="preserve">, </w:t>
                    </w:r>
                    <w:smartTag w:uri="urn:schemas-microsoft-com:office:smarttags" w:element="State">
                      <w:r w:rsidRPr="004A7FE0">
                        <w:rPr>
                          <w:rFonts w:ascii="Garamond" w:hAnsi="Garamond"/>
                          <w:b/>
                          <w:sz w:val="16"/>
                          <w:szCs w:val="16"/>
                        </w:rPr>
                        <w:t>IL</w:t>
                      </w:r>
                    </w:smartTag>
                  </w:smartTag>
                </w:p>
                <w:p w:rsidR="00D00A7D" w:rsidRPr="004A7FE0" w:rsidRDefault="00D00A7D" w:rsidP="006E460C">
                  <w:pPr>
                    <w:pStyle w:val="Footer"/>
                    <w:framePr w:hSpace="180" w:wrap="around" w:vAnchor="page" w:hAnchor="margin" w:xAlign="center" w:y="181"/>
                    <w:jc w:val="center"/>
                    <w:rPr>
                      <w:rFonts w:ascii="Garamond" w:hAnsi="Garamond"/>
                      <w:b/>
                      <w:sz w:val="16"/>
                      <w:szCs w:val="16"/>
                    </w:rPr>
                  </w:pPr>
                  <w:r w:rsidRPr="004A7FE0">
                    <w:rPr>
                      <w:rFonts w:ascii="Garamond" w:hAnsi="Garamond"/>
                      <w:b/>
                      <w:sz w:val="16"/>
                      <w:szCs w:val="16"/>
                    </w:rPr>
                    <w:t>217-726-0037</w:t>
                  </w:r>
                </w:p>
              </w:tc>
              <w:tc>
                <w:tcPr>
                  <w:tcW w:w="1971" w:type="dxa"/>
                  <w:shd w:val="clear" w:color="auto" w:fill="auto"/>
                </w:tcPr>
                <w:p w:rsidR="00D00A7D" w:rsidRPr="004A7FE0" w:rsidRDefault="00D00A7D" w:rsidP="006E460C">
                  <w:pPr>
                    <w:pStyle w:val="Footer"/>
                    <w:framePr w:hSpace="180" w:wrap="around" w:vAnchor="page" w:hAnchor="margin" w:xAlign="center" w:y="181"/>
                    <w:ind w:left="-108"/>
                    <w:jc w:val="center"/>
                    <w:rPr>
                      <w:rFonts w:ascii="Garamond" w:hAnsi="Garamond"/>
                      <w:b/>
                      <w:sz w:val="16"/>
                      <w:szCs w:val="16"/>
                    </w:rPr>
                  </w:pPr>
                  <w:smartTag w:uri="urn:schemas-microsoft-com:office:smarttags" w:element="place">
                    <w:smartTag w:uri="urn:schemas-microsoft-com:office:smarttags" w:element="City">
                      <w:r w:rsidRPr="004A7FE0">
                        <w:rPr>
                          <w:rFonts w:ascii="Garamond" w:hAnsi="Garamond"/>
                          <w:b/>
                          <w:sz w:val="16"/>
                          <w:szCs w:val="16"/>
                        </w:rPr>
                        <w:t>GREEN BAY</w:t>
                      </w:r>
                    </w:smartTag>
                    <w:r w:rsidRPr="004A7FE0">
                      <w:rPr>
                        <w:rFonts w:ascii="Garamond" w:hAnsi="Garamond"/>
                        <w:b/>
                        <w:sz w:val="16"/>
                        <w:szCs w:val="16"/>
                      </w:rPr>
                      <w:t xml:space="preserve">, </w:t>
                    </w:r>
                    <w:smartTag w:uri="urn:schemas-microsoft-com:office:smarttags" w:element="State">
                      <w:r w:rsidRPr="004A7FE0">
                        <w:rPr>
                          <w:rFonts w:ascii="Garamond" w:hAnsi="Garamond"/>
                          <w:b/>
                          <w:sz w:val="16"/>
                          <w:szCs w:val="16"/>
                        </w:rPr>
                        <w:t>WI</w:t>
                      </w:r>
                    </w:smartTag>
                  </w:smartTag>
                </w:p>
                <w:p w:rsidR="00D00A7D" w:rsidRPr="004A7FE0" w:rsidRDefault="00D00A7D" w:rsidP="006E460C">
                  <w:pPr>
                    <w:pStyle w:val="Footer"/>
                    <w:framePr w:hSpace="180" w:wrap="around" w:vAnchor="page" w:hAnchor="margin" w:xAlign="center" w:y="181"/>
                    <w:ind w:left="-108"/>
                    <w:jc w:val="center"/>
                    <w:rPr>
                      <w:rFonts w:ascii="Garamond" w:hAnsi="Garamond"/>
                      <w:b/>
                      <w:sz w:val="16"/>
                      <w:szCs w:val="16"/>
                    </w:rPr>
                  </w:pPr>
                  <w:r w:rsidRPr="004A7FE0">
                    <w:rPr>
                      <w:rFonts w:ascii="Garamond" w:hAnsi="Garamond"/>
                      <w:b/>
                      <w:sz w:val="16"/>
                      <w:szCs w:val="16"/>
                    </w:rPr>
                    <w:t>920-569-4620</w:t>
                  </w:r>
                </w:p>
              </w:tc>
            </w:tr>
          </w:tbl>
          <w:p w:rsidR="00D00A7D" w:rsidRPr="00903AD6" w:rsidRDefault="00D00A7D" w:rsidP="007848A5">
            <w:pPr>
              <w:jc w:val="center"/>
              <w:rPr>
                <w:rFonts w:ascii="Garamond" w:hAnsi="Garamond"/>
                <w:b/>
                <w:sz w:val="16"/>
              </w:rPr>
            </w:pPr>
          </w:p>
          <w:tbl>
            <w:tblPr>
              <w:tblW w:w="6218" w:type="dxa"/>
              <w:jc w:val="center"/>
              <w:tblLayout w:type="fixed"/>
              <w:tblLook w:val="01E0" w:firstRow="1" w:lastRow="1" w:firstColumn="1" w:lastColumn="1" w:noHBand="0" w:noVBand="0"/>
            </w:tblPr>
            <w:tblGrid>
              <w:gridCol w:w="2294"/>
              <w:gridCol w:w="1953"/>
              <w:gridCol w:w="1971"/>
            </w:tblGrid>
            <w:tr w:rsidR="00D00A7D" w:rsidRPr="004A7FE0" w:rsidTr="007848A5">
              <w:trPr>
                <w:trHeight w:val="360"/>
                <w:jc w:val="center"/>
              </w:trPr>
              <w:tc>
                <w:tcPr>
                  <w:tcW w:w="2294" w:type="dxa"/>
                  <w:shd w:val="clear" w:color="auto" w:fill="auto"/>
                </w:tcPr>
                <w:p w:rsidR="00D00A7D" w:rsidRPr="004A7FE0" w:rsidRDefault="00D00A7D" w:rsidP="006E460C">
                  <w:pPr>
                    <w:pStyle w:val="Footer"/>
                    <w:framePr w:hSpace="180" w:wrap="around" w:vAnchor="page" w:hAnchor="margin" w:xAlign="center" w:y="181"/>
                    <w:jc w:val="center"/>
                    <w:rPr>
                      <w:rFonts w:ascii="Garamond" w:hAnsi="Garamond"/>
                      <w:b/>
                      <w:sz w:val="16"/>
                      <w:szCs w:val="16"/>
                    </w:rPr>
                  </w:pPr>
                  <w:r w:rsidRPr="004A7FE0">
                    <w:rPr>
                      <w:rFonts w:ascii="Garamond" w:hAnsi="Garamond"/>
                      <w:b/>
                      <w:sz w:val="16"/>
                      <w:szCs w:val="16"/>
                    </w:rPr>
                    <w:t>INDIANAPOLIS, IN</w:t>
                  </w:r>
                </w:p>
                <w:p w:rsidR="00D00A7D" w:rsidRPr="004A7FE0" w:rsidRDefault="00D00A7D" w:rsidP="006E460C">
                  <w:pPr>
                    <w:pStyle w:val="Footer"/>
                    <w:framePr w:hSpace="180" w:wrap="around" w:vAnchor="page" w:hAnchor="margin" w:xAlign="center" w:y="181"/>
                    <w:jc w:val="center"/>
                    <w:rPr>
                      <w:rFonts w:ascii="Garamond" w:hAnsi="Garamond"/>
                      <w:b/>
                      <w:sz w:val="16"/>
                      <w:szCs w:val="16"/>
                    </w:rPr>
                  </w:pPr>
                  <w:r w:rsidRPr="004A7FE0">
                    <w:rPr>
                      <w:rFonts w:ascii="Garamond" w:hAnsi="Garamond"/>
                      <w:b/>
                      <w:sz w:val="16"/>
                      <w:szCs w:val="16"/>
                    </w:rPr>
                    <w:t>317-204-4627</w:t>
                  </w:r>
                </w:p>
              </w:tc>
              <w:tc>
                <w:tcPr>
                  <w:tcW w:w="1953" w:type="dxa"/>
                  <w:shd w:val="clear" w:color="auto" w:fill="auto"/>
                </w:tcPr>
                <w:p w:rsidR="00D00A7D" w:rsidRPr="004A7FE0" w:rsidRDefault="00D00A7D" w:rsidP="006E460C">
                  <w:pPr>
                    <w:pStyle w:val="Footer"/>
                    <w:framePr w:hSpace="180" w:wrap="around" w:vAnchor="page" w:hAnchor="margin" w:xAlign="center" w:y="181"/>
                    <w:ind w:left="-213"/>
                    <w:jc w:val="center"/>
                    <w:rPr>
                      <w:rFonts w:ascii="Garamond" w:hAnsi="Garamond"/>
                      <w:b/>
                      <w:sz w:val="16"/>
                      <w:szCs w:val="16"/>
                    </w:rPr>
                  </w:pPr>
                  <w:r>
                    <w:rPr>
                      <w:rFonts w:ascii="Garamond" w:hAnsi="Garamond"/>
                      <w:b/>
                      <w:sz w:val="16"/>
                      <w:szCs w:val="16"/>
                    </w:rPr>
                    <w:t>OMAHA, NE</w:t>
                  </w:r>
                </w:p>
                <w:p w:rsidR="00D00A7D" w:rsidRPr="004A7FE0" w:rsidRDefault="00D00A7D" w:rsidP="006E460C">
                  <w:pPr>
                    <w:pStyle w:val="Footer"/>
                    <w:framePr w:hSpace="180" w:wrap="around" w:vAnchor="page" w:hAnchor="margin" w:xAlign="center" w:y="181"/>
                    <w:ind w:left="-213"/>
                    <w:jc w:val="center"/>
                    <w:rPr>
                      <w:rFonts w:ascii="Garamond" w:hAnsi="Garamond"/>
                      <w:b/>
                      <w:sz w:val="16"/>
                      <w:szCs w:val="16"/>
                    </w:rPr>
                  </w:pPr>
                  <w:r w:rsidRPr="00B21A5F">
                    <w:rPr>
                      <w:rFonts w:ascii="Garamond" w:hAnsi="Garamond"/>
                      <w:b/>
                      <w:sz w:val="16"/>
                      <w:szCs w:val="16"/>
                    </w:rPr>
                    <w:t>402-507-7116</w:t>
                  </w:r>
                </w:p>
              </w:tc>
              <w:tc>
                <w:tcPr>
                  <w:tcW w:w="1971" w:type="dxa"/>
                </w:tcPr>
                <w:p w:rsidR="00D00A7D" w:rsidRDefault="00D00A7D" w:rsidP="006E460C">
                  <w:pPr>
                    <w:pStyle w:val="Footer"/>
                    <w:framePr w:hSpace="180" w:wrap="around" w:vAnchor="page" w:hAnchor="margin" w:xAlign="center" w:y="181"/>
                    <w:ind w:left="165"/>
                    <w:jc w:val="center"/>
                    <w:rPr>
                      <w:rFonts w:ascii="Garamond" w:hAnsi="Garamond"/>
                      <w:b/>
                      <w:sz w:val="16"/>
                      <w:szCs w:val="16"/>
                    </w:rPr>
                  </w:pPr>
                  <w:r>
                    <w:rPr>
                      <w:rFonts w:ascii="Garamond" w:hAnsi="Garamond"/>
                      <w:b/>
                      <w:sz w:val="16"/>
                      <w:szCs w:val="16"/>
                    </w:rPr>
                    <w:t>MILWAUKEE, WI</w:t>
                  </w:r>
                </w:p>
                <w:p w:rsidR="00D00A7D" w:rsidRDefault="00D00A7D" w:rsidP="006E460C">
                  <w:pPr>
                    <w:pStyle w:val="Footer"/>
                    <w:framePr w:hSpace="180" w:wrap="around" w:vAnchor="page" w:hAnchor="margin" w:xAlign="center" w:y="181"/>
                    <w:ind w:left="165"/>
                    <w:jc w:val="center"/>
                    <w:rPr>
                      <w:rFonts w:ascii="Garamond" w:hAnsi="Garamond"/>
                      <w:b/>
                      <w:sz w:val="16"/>
                      <w:szCs w:val="16"/>
                    </w:rPr>
                  </w:pPr>
                  <w:r>
                    <w:rPr>
                      <w:rFonts w:ascii="Garamond" w:hAnsi="Garamond"/>
                      <w:b/>
                      <w:sz w:val="16"/>
                      <w:szCs w:val="16"/>
                    </w:rPr>
                    <w:t>414-273-3133</w:t>
                  </w:r>
                </w:p>
              </w:tc>
            </w:tr>
          </w:tbl>
          <w:p w:rsidR="00D00A7D" w:rsidRPr="00903AD6" w:rsidRDefault="00D00A7D" w:rsidP="007848A5">
            <w:pPr>
              <w:jc w:val="center"/>
              <w:rPr>
                <w:rFonts w:ascii="Garamond" w:hAnsi="Garamond"/>
                <w:b/>
                <w:sz w:val="16"/>
              </w:rPr>
            </w:pPr>
          </w:p>
        </w:tc>
        <w:tc>
          <w:tcPr>
            <w:tcW w:w="2992" w:type="dxa"/>
          </w:tcPr>
          <w:p w:rsidR="00D00A7D" w:rsidRPr="00E3708E" w:rsidRDefault="00D00A7D" w:rsidP="007848A5">
            <w:pPr>
              <w:pStyle w:val="Header"/>
              <w:widowControl w:val="0"/>
              <w:tabs>
                <w:tab w:val="clear" w:pos="4320"/>
                <w:tab w:val="clear" w:pos="8640"/>
              </w:tabs>
              <w:ind w:left="640"/>
              <w:jc w:val="center"/>
              <w:rPr>
                <w:rFonts w:ascii="Garamond" w:hAnsi="Garamond"/>
                <w:b/>
                <w:sz w:val="6"/>
                <w:szCs w:val="6"/>
              </w:rPr>
            </w:pP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ERICA A. LEVIN</w:t>
            </w:r>
          </w:p>
          <w:p w:rsidR="00D00A7D" w:rsidRPr="00903AD6" w:rsidRDefault="00D00A7D" w:rsidP="007848A5">
            <w:pPr>
              <w:pStyle w:val="Header"/>
              <w:widowControl w:val="0"/>
              <w:tabs>
                <w:tab w:val="clear" w:pos="4320"/>
                <w:tab w:val="clear" w:pos="8640"/>
              </w:tabs>
              <w:ind w:left="-80"/>
              <w:jc w:val="center"/>
              <w:rPr>
                <w:rFonts w:ascii="Garamond" w:hAnsi="Garamond"/>
                <w:b/>
                <w:bCs/>
                <w:sz w:val="12"/>
              </w:rPr>
            </w:pPr>
            <w:r w:rsidRPr="00903AD6">
              <w:rPr>
                <w:rFonts w:ascii="Garamond" w:hAnsi="Garamond"/>
                <w:b/>
                <w:bCs/>
                <w:sz w:val="12"/>
              </w:rPr>
              <w:t>LAUREN A. SERAFIN</w:t>
            </w:r>
          </w:p>
          <w:p w:rsidR="00D00A7D" w:rsidRDefault="00D00A7D" w:rsidP="007848A5">
            <w:pPr>
              <w:pStyle w:val="Header"/>
              <w:widowControl w:val="0"/>
              <w:tabs>
                <w:tab w:val="clear" w:pos="4320"/>
                <w:tab w:val="clear" w:pos="8640"/>
              </w:tabs>
              <w:ind w:left="-80"/>
              <w:jc w:val="center"/>
              <w:rPr>
                <w:rFonts w:ascii="Garamond" w:hAnsi="Garamond"/>
                <w:b/>
                <w:bCs/>
                <w:sz w:val="12"/>
              </w:rPr>
            </w:pPr>
            <w:r>
              <w:rPr>
                <w:rFonts w:ascii="Garamond" w:hAnsi="Garamond"/>
                <w:b/>
                <w:bCs/>
                <w:sz w:val="12"/>
              </w:rPr>
              <w:t>SUSAN E. WALSH</w:t>
            </w:r>
          </w:p>
          <w:p w:rsidR="00D00A7D" w:rsidRDefault="00D00A7D" w:rsidP="007848A5">
            <w:pPr>
              <w:pStyle w:val="Header"/>
              <w:widowControl w:val="0"/>
              <w:tabs>
                <w:tab w:val="clear" w:pos="4320"/>
                <w:tab w:val="clear" w:pos="8640"/>
              </w:tabs>
              <w:ind w:left="-80"/>
              <w:jc w:val="center"/>
              <w:rPr>
                <w:rFonts w:ascii="Garamond" w:hAnsi="Garamond"/>
                <w:b/>
                <w:bCs/>
                <w:sz w:val="12"/>
              </w:rPr>
            </w:pPr>
            <w:r>
              <w:rPr>
                <w:rFonts w:ascii="Garamond" w:hAnsi="Garamond"/>
                <w:b/>
                <w:bCs/>
                <w:sz w:val="12"/>
              </w:rPr>
              <w:t>ERIN K. FIORE</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JOHN D. WHEELER</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PETER J. LAPIN</w:t>
            </w:r>
          </w:p>
          <w:p w:rsidR="00D00A7D" w:rsidRPr="00B856B4"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DAVID A. DOELLMAN</w:t>
            </w:r>
            <w:r w:rsidRPr="00B856B4">
              <w:rPr>
                <w:rFonts w:ascii="Garamond" w:hAnsi="Garamond"/>
                <w:b/>
                <w:bCs/>
                <w:sz w:val="12"/>
                <w:szCs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JAMES P. KENDZIOR</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 xml:space="preserve">SUSAN V. BARRANCO </w:t>
            </w:r>
            <w:r w:rsidRPr="00C000CA">
              <w:rPr>
                <w:rFonts w:ascii="Garamond" w:hAnsi="Garamond"/>
                <w:b/>
                <w:bCs/>
                <w:sz w:val="12"/>
                <w:szCs w:val="12"/>
              </w:rPr>
              <w:t>ππ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PAUL N. BERARD #</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RYAN J. MCCARTHY</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JILL M. KASTNER</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TAMMY A. PAQUETTE</w:t>
            </w:r>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2"/>
                <w:szCs w:val="12"/>
              </w:rPr>
              <w:t xml:space="preserve">JOHN S. PASOWICZ </w:t>
            </w:r>
            <w:r>
              <w:rPr>
                <w:rFonts w:ascii="Garamond" w:hAnsi="Garamond"/>
                <w:b/>
                <w:bCs/>
                <w:sz w:val="10"/>
                <w:szCs w:val="10"/>
              </w:rPr>
              <w:t>##</w:t>
            </w:r>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2"/>
                <w:szCs w:val="12"/>
              </w:rPr>
              <w:t xml:space="preserve">BRYAN J. PARADISE </w:t>
            </w:r>
            <w:r>
              <w:rPr>
                <w:rFonts w:ascii="Garamond" w:hAnsi="Garamond"/>
                <w:b/>
                <w:bCs/>
                <w:sz w:val="10"/>
                <w:szCs w:val="10"/>
              </w:rPr>
              <w:t>##</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KATHERINE M. WHITAKER</w:t>
            </w:r>
            <w:r w:rsidRPr="00B856B4">
              <w:rPr>
                <w:rFonts w:ascii="Garamond" w:hAnsi="Garamond"/>
                <w:b/>
                <w:bCs/>
                <w:sz w:val="12"/>
                <w:szCs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CHRISTOPHER L. JARCHOW</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SEAN P. RYAN</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ELIZABETH C. VICARS</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 xml:space="preserve">DAVID WILLETT </w:t>
            </w:r>
            <w:r w:rsidRPr="00903AD6">
              <w:rPr>
                <w:rFonts w:ascii="Garamond" w:hAnsi="Garamond"/>
                <w:b/>
                <w:bCs/>
                <w:sz w:val="10"/>
                <w:szCs w:val="10"/>
              </w:rPr>
              <w:t>π</w:t>
            </w:r>
          </w:p>
          <w:p w:rsidR="00D00A7D"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DREW W. VICARY</w:t>
            </w:r>
            <w:r w:rsidRPr="00B856B4">
              <w:rPr>
                <w:rFonts w:ascii="Garamond" w:hAnsi="Garamond"/>
                <w:b/>
                <w:bCs/>
                <w:sz w:val="12"/>
                <w:szCs w:val="12"/>
              </w:rPr>
              <w:t xml:space="preserve"> π</w:t>
            </w:r>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2"/>
              </w:rPr>
              <w:t xml:space="preserve">BRIDGET A. ZEIER </w:t>
            </w:r>
            <w:r>
              <w:rPr>
                <w:rFonts w:ascii="Garamond" w:hAnsi="Garamond"/>
                <w:b/>
                <w:bCs/>
                <w:sz w:val="10"/>
                <w:szCs w:val="10"/>
              </w:rPr>
              <w:t>*~</w:t>
            </w:r>
          </w:p>
          <w:p w:rsidR="00D00A7D" w:rsidRPr="00B856B4" w:rsidRDefault="00D00A7D" w:rsidP="007848A5">
            <w:pPr>
              <w:pStyle w:val="Header"/>
              <w:widowControl w:val="0"/>
              <w:tabs>
                <w:tab w:val="clear" w:pos="4320"/>
                <w:tab w:val="clear" w:pos="8640"/>
              </w:tabs>
              <w:ind w:left="-80"/>
              <w:jc w:val="center"/>
              <w:rPr>
                <w:rFonts w:ascii="Garamond" w:hAnsi="Garamond"/>
                <w:b/>
                <w:bCs/>
                <w:sz w:val="12"/>
                <w:szCs w:val="12"/>
              </w:rPr>
            </w:pPr>
            <w:r>
              <w:rPr>
                <w:rFonts w:ascii="Garamond" w:hAnsi="Garamond"/>
                <w:b/>
                <w:bCs/>
                <w:sz w:val="12"/>
                <w:szCs w:val="12"/>
              </w:rPr>
              <w:t>MARC J. PRENDERGAST</w:t>
            </w:r>
          </w:p>
          <w:p w:rsidR="00D00A7D" w:rsidRDefault="00D00A7D" w:rsidP="007848A5">
            <w:pPr>
              <w:pStyle w:val="Header"/>
              <w:widowControl w:val="0"/>
              <w:tabs>
                <w:tab w:val="clear" w:pos="4320"/>
                <w:tab w:val="clear" w:pos="8640"/>
              </w:tabs>
              <w:ind w:left="-80"/>
              <w:jc w:val="center"/>
              <w:rPr>
                <w:rFonts w:ascii="Garamond" w:hAnsi="Garamond"/>
                <w:b/>
                <w:bCs/>
                <w:sz w:val="4"/>
                <w:szCs w:val="4"/>
              </w:rPr>
            </w:pPr>
          </w:p>
          <w:p w:rsidR="00D00A7D" w:rsidRPr="00E3708E" w:rsidRDefault="00D00A7D" w:rsidP="007848A5">
            <w:pPr>
              <w:pStyle w:val="Header"/>
              <w:widowControl w:val="0"/>
              <w:tabs>
                <w:tab w:val="clear" w:pos="4320"/>
                <w:tab w:val="clear" w:pos="8640"/>
              </w:tabs>
              <w:ind w:left="-80"/>
              <w:jc w:val="center"/>
              <w:rPr>
                <w:rFonts w:ascii="Garamond" w:hAnsi="Garamond"/>
                <w:b/>
                <w:bCs/>
                <w:sz w:val="4"/>
                <w:szCs w:val="4"/>
              </w:rPr>
            </w:pPr>
          </w:p>
          <w:p w:rsidR="00D00A7D" w:rsidRPr="00903AD6" w:rsidRDefault="00D00A7D" w:rsidP="007848A5">
            <w:pPr>
              <w:pStyle w:val="Header"/>
              <w:widowControl w:val="0"/>
              <w:tabs>
                <w:tab w:val="clear" w:pos="4320"/>
                <w:tab w:val="clear" w:pos="8640"/>
              </w:tabs>
              <w:ind w:left="-80"/>
              <w:jc w:val="center"/>
              <w:rPr>
                <w:rFonts w:ascii="Garamond" w:hAnsi="Garamond"/>
                <w:b/>
                <w:bCs/>
                <w:sz w:val="10"/>
                <w:szCs w:val="10"/>
              </w:rPr>
            </w:pPr>
            <w:r w:rsidRPr="00903AD6">
              <w:rPr>
                <w:rFonts w:ascii="Garamond" w:hAnsi="Garamond"/>
                <w:b/>
                <w:bCs/>
                <w:sz w:val="10"/>
                <w:szCs w:val="10"/>
              </w:rPr>
              <w:t xml:space="preserve">π LICENSED IN </w:t>
            </w:r>
            <w:smartTag w:uri="urn:schemas-microsoft-com:office:smarttags" w:element="State">
              <w:r w:rsidRPr="00903AD6">
                <w:rPr>
                  <w:rFonts w:ascii="Garamond" w:hAnsi="Garamond"/>
                  <w:b/>
                  <w:bCs/>
                  <w:sz w:val="10"/>
                  <w:szCs w:val="10"/>
                </w:rPr>
                <w:t>MISSOURI</w:t>
              </w:r>
            </w:smartTag>
            <w:r w:rsidRPr="00903AD6">
              <w:rPr>
                <w:rFonts w:ascii="Garamond" w:hAnsi="Garamond"/>
                <w:b/>
                <w:bCs/>
                <w:sz w:val="10"/>
                <w:szCs w:val="10"/>
              </w:rPr>
              <w:t xml:space="preserve"> &amp; </w:t>
            </w:r>
            <w:smartTag w:uri="urn:schemas-microsoft-com:office:smarttags" w:element="place">
              <w:smartTag w:uri="urn:schemas-microsoft-com:office:smarttags" w:element="State">
                <w:r w:rsidRPr="00903AD6">
                  <w:rPr>
                    <w:rFonts w:ascii="Garamond" w:hAnsi="Garamond"/>
                    <w:b/>
                    <w:bCs/>
                    <w:sz w:val="10"/>
                    <w:szCs w:val="10"/>
                  </w:rPr>
                  <w:t>ILLINOIS</w:t>
                </w:r>
              </w:smartTag>
            </w:smartTag>
          </w:p>
          <w:p w:rsidR="00D00A7D" w:rsidRPr="00903AD6" w:rsidRDefault="00D00A7D" w:rsidP="007848A5">
            <w:pPr>
              <w:pStyle w:val="Header"/>
              <w:widowControl w:val="0"/>
              <w:tabs>
                <w:tab w:val="clear" w:pos="4320"/>
                <w:tab w:val="clear" w:pos="8640"/>
              </w:tabs>
              <w:ind w:left="-80"/>
              <w:jc w:val="center"/>
              <w:rPr>
                <w:rFonts w:ascii="Garamond" w:hAnsi="Garamond"/>
                <w:b/>
                <w:bCs/>
                <w:sz w:val="10"/>
                <w:szCs w:val="10"/>
              </w:rPr>
            </w:pPr>
            <w:r w:rsidRPr="00903AD6">
              <w:rPr>
                <w:rFonts w:ascii="Garamond" w:hAnsi="Garamond"/>
                <w:b/>
                <w:bCs/>
                <w:sz w:val="10"/>
                <w:szCs w:val="10"/>
              </w:rPr>
              <w:t>ππ</w:t>
            </w:r>
            <w:r>
              <w:rPr>
                <w:rFonts w:ascii="Garamond" w:hAnsi="Garamond"/>
                <w:b/>
                <w:bCs/>
                <w:sz w:val="10"/>
                <w:szCs w:val="10"/>
              </w:rPr>
              <w:t xml:space="preserve"> </w:t>
            </w:r>
            <w:r w:rsidRPr="00903AD6">
              <w:rPr>
                <w:rFonts w:ascii="Garamond" w:hAnsi="Garamond"/>
                <w:b/>
                <w:bCs/>
                <w:sz w:val="10"/>
                <w:szCs w:val="10"/>
              </w:rPr>
              <w:t xml:space="preserve">LICENSED IN </w:t>
            </w:r>
            <w:smartTag w:uri="urn:schemas-microsoft-com:office:smarttags" w:element="State">
              <w:r w:rsidRPr="00903AD6">
                <w:rPr>
                  <w:rFonts w:ascii="Garamond" w:hAnsi="Garamond"/>
                  <w:b/>
                  <w:bCs/>
                  <w:sz w:val="10"/>
                  <w:szCs w:val="10"/>
                </w:rPr>
                <w:t>ILLINOIS</w:t>
              </w:r>
            </w:smartTag>
            <w:r w:rsidRPr="00903AD6">
              <w:rPr>
                <w:rFonts w:ascii="Garamond" w:hAnsi="Garamond"/>
                <w:b/>
                <w:bCs/>
                <w:sz w:val="10"/>
                <w:szCs w:val="10"/>
              </w:rPr>
              <w:t xml:space="preserve"> &amp; </w:t>
            </w:r>
            <w:smartTag w:uri="urn:schemas-microsoft-com:office:smarttags" w:element="State">
              <w:smartTag w:uri="urn:schemas-microsoft-com:office:smarttags" w:element="place">
                <w:r w:rsidRPr="00903AD6">
                  <w:rPr>
                    <w:rFonts w:ascii="Garamond" w:hAnsi="Garamond"/>
                    <w:b/>
                    <w:bCs/>
                    <w:sz w:val="10"/>
                    <w:szCs w:val="10"/>
                  </w:rPr>
                  <w:t>WISCONSIN</w:t>
                </w:r>
              </w:smartTag>
            </w:smartTag>
          </w:p>
          <w:p w:rsidR="00D00A7D" w:rsidRPr="00903AD6" w:rsidRDefault="00D00A7D" w:rsidP="007848A5">
            <w:pPr>
              <w:pStyle w:val="Header"/>
              <w:widowControl w:val="0"/>
              <w:tabs>
                <w:tab w:val="clear" w:pos="4320"/>
                <w:tab w:val="clear" w:pos="8640"/>
              </w:tabs>
              <w:ind w:left="-80"/>
              <w:jc w:val="center"/>
              <w:rPr>
                <w:rFonts w:ascii="Garamond" w:hAnsi="Garamond"/>
                <w:b/>
                <w:bCs/>
                <w:sz w:val="10"/>
                <w:szCs w:val="10"/>
              </w:rPr>
            </w:pPr>
            <w:r w:rsidRPr="00903AD6">
              <w:rPr>
                <w:rFonts w:ascii="Garamond" w:hAnsi="Garamond"/>
                <w:b/>
                <w:bCs/>
                <w:sz w:val="10"/>
                <w:szCs w:val="10"/>
              </w:rPr>
              <w:t xml:space="preserve">* LICENSED IN </w:t>
            </w:r>
            <w:smartTag w:uri="urn:schemas-microsoft-com:office:smarttags" w:element="State">
              <w:r w:rsidRPr="00903AD6">
                <w:rPr>
                  <w:rFonts w:ascii="Garamond" w:hAnsi="Garamond"/>
                  <w:b/>
                  <w:bCs/>
                  <w:sz w:val="10"/>
                  <w:szCs w:val="10"/>
                </w:rPr>
                <w:t>MISSOURI</w:t>
              </w:r>
            </w:smartTag>
            <w:r w:rsidRPr="00903AD6">
              <w:rPr>
                <w:rFonts w:ascii="Garamond" w:hAnsi="Garamond"/>
                <w:b/>
                <w:bCs/>
                <w:sz w:val="10"/>
                <w:szCs w:val="10"/>
              </w:rPr>
              <w:t xml:space="preserve">, </w:t>
            </w:r>
            <w:smartTag w:uri="urn:schemas-microsoft-com:office:smarttags" w:element="State">
              <w:r w:rsidRPr="00903AD6">
                <w:rPr>
                  <w:rFonts w:ascii="Garamond" w:hAnsi="Garamond"/>
                  <w:b/>
                  <w:bCs/>
                  <w:sz w:val="10"/>
                  <w:szCs w:val="10"/>
                </w:rPr>
                <w:t>ILLINOIS</w:t>
              </w:r>
            </w:smartTag>
            <w:r w:rsidRPr="00903AD6">
              <w:rPr>
                <w:rFonts w:ascii="Garamond" w:hAnsi="Garamond"/>
                <w:b/>
                <w:bCs/>
                <w:sz w:val="10"/>
                <w:szCs w:val="10"/>
              </w:rPr>
              <w:t xml:space="preserve"> &amp; </w:t>
            </w:r>
            <w:smartTag w:uri="urn:schemas-microsoft-com:office:smarttags" w:element="State">
              <w:smartTag w:uri="urn:schemas-microsoft-com:office:smarttags" w:element="place">
                <w:r w:rsidRPr="00903AD6">
                  <w:rPr>
                    <w:rFonts w:ascii="Garamond" w:hAnsi="Garamond"/>
                    <w:b/>
                    <w:bCs/>
                    <w:sz w:val="10"/>
                    <w:szCs w:val="10"/>
                  </w:rPr>
                  <w:t>FLORIDA</w:t>
                </w:r>
              </w:smartTag>
            </w:smartTag>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sidRPr="00903AD6">
              <w:rPr>
                <w:rFonts w:ascii="Garamond" w:hAnsi="Garamond"/>
                <w:b/>
                <w:bCs/>
                <w:sz w:val="10"/>
                <w:szCs w:val="10"/>
              </w:rPr>
              <w:t>~</w:t>
            </w:r>
            <w:r>
              <w:rPr>
                <w:rFonts w:ascii="Garamond" w:hAnsi="Garamond"/>
                <w:b/>
                <w:bCs/>
                <w:sz w:val="10"/>
                <w:szCs w:val="10"/>
              </w:rPr>
              <w:t xml:space="preserve"> </w:t>
            </w:r>
            <w:r w:rsidRPr="00903AD6">
              <w:rPr>
                <w:rFonts w:ascii="Garamond" w:hAnsi="Garamond"/>
                <w:b/>
                <w:bCs/>
                <w:sz w:val="10"/>
                <w:szCs w:val="10"/>
              </w:rPr>
              <w:t xml:space="preserve">LICENSED IN </w:t>
            </w:r>
            <w:smartTag w:uri="urn:schemas-microsoft-com:office:smarttags" w:element="State">
              <w:r w:rsidRPr="00903AD6">
                <w:rPr>
                  <w:rFonts w:ascii="Garamond" w:hAnsi="Garamond"/>
                  <w:b/>
                  <w:bCs/>
                  <w:sz w:val="10"/>
                  <w:szCs w:val="10"/>
                </w:rPr>
                <w:t>ILLINOIS</w:t>
              </w:r>
            </w:smartTag>
            <w:r w:rsidRPr="00903AD6">
              <w:rPr>
                <w:rFonts w:ascii="Garamond" w:hAnsi="Garamond"/>
                <w:b/>
                <w:bCs/>
                <w:sz w:val="10"/>
                <w:szCs w:val="10"/>
              </w:rPr>
              <w:t xml:space="preserve"> &amp; </w:t>
            </w:r>
            <w:smartTag w:uri="urn:schemas-microsoft-com:office:smarttags" w:element="place">
              <w:smartTag w:uri="urn:schemas-microsoft-com:office:smarttags" w:element="State">
                <w:r w:rsidRPr="00903AD6">
                  <w:rPr>
                    <w:rFonts w:ascii="Garamond" w:hAnsi="Garamond"/>
                    <w:b/>
                    <w:bCs/>
                    <w:sz w:val="10"/>
                    <w:szCs w:val="10"/>
                  </w:rPr>
                  <w:t>MINNESOTA</w:t>
                </w:r>
              </w:smartTag>
            </w:smartTag>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sidRPr="00903AD6">
              <w:rPr>
                <w:rFonts w:ascii="Garamond" w:hAnsi="Garamond"/>
                <w:b/>
                <w:bCs/>
                <w:sz w:val="10"/>
                <w:szCs w:val="10"/>
              </w:rPr>
              <w:t>**</w:t>
            </w:r>
            <w:r>
              <w:rPr>
                <w:rFonts w:ascii="Garamond" w:hAnsi="Garamond"/>
                <w:b/>
                <w:bCs/>
                <w:sz w:val="10"/>
                <w:szCs w:val="10"/>
              </w:rPr>
              <w:t xml:space="preserve"> LICENSED IN </w:t>
            </w:r>
            <w:smartTag w:uri="urn:schemas-microsoft-com:office:smarttags" w:element="place">
              <w:smartTag w:uri="urn:schemas-microsoft-com:office:smarttags" w:element="State">
                <w:r>
                  <w:rPr>
                    <w:rFonts w:ascii="Garamond" w:hAnsi="Garamond"/>
                    <w:b/>
                    <w:bCs/>
                    <w:sz w:val="10"/>
                    <w:szCs w:val="10"/>
                  </w:rPr>
                  <w:t>WISCONSIN</w:t>
                </w:r>
              </w:smartTag>
            </w:smartTag>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0"/>
                <w:szCs w:val="10"/>
              </w:rPr>
              <w:t>*~ LICENSED IN INDIANA &amp; ILLINOIS</w:t>
            </w:r>
          </w:p>
          <w:p w:rsidR="00D00A7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0"/>
                <w:szCs w:val="10"/>
              </w:rPr>
              <w:t xml:space="preserve">~~ LICENSED IN INDIANA </w:t>
            </w:r>
          </w:p>
          <w:p w:rsidR="00D00A7D" w:rsidRDefault="00D00A7D" w:rsidP="007848A5">
            <w:pPr>
              <w:pStyle w:val="Header"/>
              <w:widowControl w:val="0"/>
              <w:tabs>
                <w:tab w:val="clear" w:pos="4320"/>
                <w:tab w:val="clear" w:pos="8640"/>
              </w:tabs>
              <w:ind w:left="-303"/>
              <w:jc w:val="center"/>
              <w:rPr>
                <w:rFonts w:ascii="Garamond" w:hAnsi="Garamond"/>
                <w:b/>
                <w:bCs/>
                <w:sz w:val="10"/>
                <w:szCs w:val="10"/>
              </w:rPr>
            </w:pPr>
            <w:r>
              <w:rPr>
                <w:rFonts w:ascii="Garamond" w:hAnsi="Garamond"/>
                <w:b/>
                <w:bCs/>
                <w:sz w:val="10"/>
                <w:szCs w:val="10"/>
              </w:rPr>
              <w:t>#</w:t>
            </w:r>
            <w:r w:rsidRPr="00903AD6">
              <w:rPr>
                <w:rFonts w:ascii="Garamond" w:hAnsi="Garamond"/>
                <w:b/>
                <w:bCs/>
                <w:sz w:val="10"/>
                <w:szCs w:val="10"/>
              </w:rPr>
              <w:t xml:space="preserve"> LICENSED IN ILLINOIS</w:t>
            </w:r>
            <w:r>
              <w:rPr>
                <w:rFonts w:ascii="Garamond" w:hAnsi="Garamond"/>
                <w:b/>
                <w:bCs/>
                <w:sz w:val="10"/>
                <w:szCs w:val="10"/>
              </w:rPr>
              <w:t xml:space="preserve">, </w:t>
            </w:r>
            <w:r w:rsidRPr="00903AD6">
              <w:rPr>
                <w:rFonts w:ascii="Garamond" w:hAnsi="Garamond"/>
                <w:b/>
                <w:bCs/>
                <w:sz w:val="10"/>
                <w:szCs w:val="10"/>
              </w:rPr>
              <w:t>WISCONSIN</w:t>
            </w:r>
            <w:r>
              <w:rPr>
                <w:rFonts w:ascii="Garamond" w:hAnsi="Garamond"/>
                <w:b/>
                <w:bCs/>
                <w:sz w:val="10"/>
                <w:szCs w:val="10"/>
              </w:rPr>
              <w:t xml:space="preserve"> &amp; </w:t>
            </w:r>
            <w:r w:rsidRPr="00903AD6">
              <w:rPr>
                <w:rFonts w:ascii="Garamond" w:hAnsi="Garamond"/>
                <w:b/>
                <w:bCs/>
                <w:sz w:val="10"/>
                <w:szCs w:val="10"/>
              </w:rPr>
              <w:t>MISSOURI</w:t>
            </w:r>
          </w:p>
          <w:p w:rsidR="00D00A7D" w:rsidRPr="00903AD6"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0"/>
                <w:szCs w:val="10"/>
              </w:rPr>
              <w:t xml:space="preserve">## LICENSED IN </w:t>
            </w:r>
            <w:smartTag w:uri="urn:schemas-microsoft-com:office:smarttags" w:element="State">
              <w:r>
                <w:rPr>
                  <w:rFonts w:ascii="Garamond" w:hAnsi="Garamond"/>
                  <w:b/>
                  <w:bCs/>
                  <w:sz w:val="10"/>
                  <w:szCs w:val="10"/>
                </w:rPr>
                <w:t>WISCONSIN</w:t>
              </w:r>
            </w:smartTag>
            <w:r>
              <w:rPr>
                <w:rFonts w:ascii="Garamond" w:hAnsi="Garamond"/>
                <w:b/>
                <w:bCs/>
                <w:sz w:val="10"/>
                <w:szCs w:val="10"/>
              </w:rPr>
              <w:t xml:space="preserve"> &amp; </w:t>
            </w:r>
            <w:smartTag w:uri="urn:schemas-microsoft-com:office:smarttags" w:element="State">
              <w:smartTag w:uri="urn:schemas-microsoft-com:office:smarttags" w:element="place">
                <w:r>
                  <w:rPr>
                    <w:rFonts w:ascii="Garamond" w:hAnsi="Garamond"/>
                    <w:b/>
                    <w:bCs/>
                    <w:sz w:val="10"/>
                    <w:szCs w:val="10"/>
                  </w:rPr>
                  <w:t>MINNESOTA</w:t>
                </w:r>
              </w:smartTag>
            </w:smartTag>
          </w:p>
          <w:p w:rsidR="00D00A7D" w:rsidRPr="00F4466D" w:rsidRDefault="00D00A7D" w:rsidP="007848A5">
            <w:pPr>
              <w:pStyle w:val="Header"/>
              <w:widowControl w:val="0"/>
              <w:tabs>
                <w:tab w:val="clear" w:pos="4320"/>
                <w:tab w:val="clear" w:pos="8640"/>
              </w:tabs>
              <w:ind w:left="-80"/>
              <w:jc w:val="center"/>
              <w:rPr>
                <w:rFonts w:ascii="Garamond" w:hAnsi="Garamond"/>
                <w:b/>
                <w:bCs/>
                <w:sz w:val="10"/>
                <w:szCs w:val="10"/>
              </w:rPr>
            </w:pPr>
            <w:r>
              <w:rPr>
                <w:rFonts w:ascii="Garamond" w:hAnsi="Garamond"/>
                <w:b/>
                <w:bCs/>
                <w:sz w:val="10"/>
                <w:szCs w:val="10"/>
              </w:rPr>
              <w:t>#*LICENSED IN IOWA, NEBRASKA &amp; MISSOURI</w:t>
            </w:r>
          </w:p>
        </w:tc>
      </w:tr>
    </w:tbl>
    <w:tbl>
      <w:tblPr>
        <w:tblStyle w:val="TableGrid"/>
        <w:tblW w:w="0" w:type="auto"/>
        <w:tblLook w:val="04A0" w:firstRow="1" w:lastRow="0" w:firstColumn="1" w:lastColumn="0" w:noHBand="0" w:noVBand="1"/>
      </w:tblPr>
      <w:tblGrid>
        <w:gridCol w:w="3192"/>
        <w:gridCol w:w="3192"/>
        <w:gridCol w:w="3192"/>
      </w:tblGrid>
      <w:tr w:rsidR="00D00A7D" w:rsidTr="005F03C4">
        <w:tc>
          <w:tcPr>
            <w:tcW w:w="9576" w:type="dxa"/>
            <w:gridSpan w:val="3"/>
          </w:tcPr>
          <w:p w:rsidR="00D00A7D" w:rsidRPr="000E2D39" w:rsidRDefault="00D00A7D">
            <w:pPr>
              <w:rPr>
                <w:b/>
                <w:sz w:val="32"/>
                <w:szCs w:val="32"/>
              </w:rPr>
            </w:pPr>
            <w:r w:rsidRPr="000E2D39">
              <w:rPr>
                <w:b/>
                <w:sz w:val="32"/>
                <w:szCs w:val="32"/>
              </w:rPr>
              <w:t>Illinois General Liability Summary</w:t>
            </w:r>
          </w:p>
        </w:tc>
      </w:tr>
      <w:tr w:rsidR="00D00A7D" w:rsidTr="00AF79E3">
        <w:tc>
          <w:tcPr>
            <w:tcW w:w="9576" w:type="dxa"/>
            <w:gridSpan w:val="3"/>
          </w:tcPr>
          <w:p w:rsidR="00D00A7D" w:rsidRPr="00D00A7D" w:rsidRDefault="00D00A7D">
            <w:pPr>
              <w:rPr>
                <w:b/>
              </w:rPr>
            </w:pPr>
            <w:r>
              <w:rPr>
                <w:b/>
              </w:rPr>
              <w:t>Initial Pleadings/Considerations</w:t>
            </w:r>
          </w:p>
        </w:tc>
      </w:tr>
      <w:tr w:rsidR="00D00A7D" w:rsidTr="00D00A7D">
        <w:tc>
          <w:tcPr>
            <w:tcW w:w="3192" w:type="dxa"/>
          </w:tcPr>
          <w:p w:rsidR="00D00A7D" w:rsidRDefault="00D00A7D">
            <w:r>
              <w:t>Statute of Limitations</w:t>
            </w:r>
          </w:p>
        </w:tc>
        <w:tc>
          <w:tcPr>
            <w:tcW w:w="3192" w:type="dxa"/>
          </w:tcPr>
          <w:p w:rsidR="00D00A7D" w:rsidRDefault="00034A88">
            <w:r>
              <w:t>735 ILCS 5/13-202</w:t>
            </w:r>
          </w:p>
          <w:p w:rsidR="00034A88" w:rsidRDefault="00652330">
            <w:r>
              <w:t>735 ILCS 5/13-205</w:t>
            </w:r>
          </w:p>
          <w:p w:rsidR="00652330" w:rsidRDefault="00652330">
            <w:r>
              <w:t>740 ILCS 180/2</w:t>
            </w:r>
          </w:p>
          <w:p w:rsidR="00652330" w:rsidRDefault="00652330">
            <w:r>
              <w:t>735 ILCS 5/13-206</w:t>
            </w:r>
          </w:p>
          <w:p w:rsidR="00652330" w:rsidRDefault="00652330">
            <w:r>
              <w:t>735 ILCS 5/13-205</w:t>
            </w:r>
          </w:p>
        </w:tc>
        <w:tc>
          <w:tcPr>
            <w:tcW w:w="3192" w:type="dxa"/>
          </w:tcPr>
          <w:p w:rsidR="00D00A7D" w:rsidRDefault="00034A88">
            <w:r>
              <w:t>Bodily Injury = 2 years</w:t>
            </w:r>
          </w:p>
          <w:p w:rsidR="00034A88" w:rsidRDefault="00034A88">
            <w:r>
              <w:t>Property Damage = 5 years</w:t>
            </w:r>
          </w:p>
          <w:p w:rsidR="00652330" w:rsidRDefault="00652330">
            <w:r>
              <w:t>Wrongful Death = 2 years</w:t>
            </w:r>
          </w:p>
          <w:p w:rsidR="00034A88" w:rsidRDefault="00652330">
            <w:r>
              <w:t xml:space="preserve">Written </w:t>
            </w:r>
            <w:r w:rsidR="00034A88">
              <w:t>Contract</w:t>
            </w:r>
            <w:r>
              <w:t xml:space="preserve"> = 10 years  Oral Contract = 5 years</w:t>
            </w:r>
          </w:p>
        </w:tc>
      </w:tr>
      <w:tr w:rsidR="00D00A7D" w:rsidTr="00D00A7D">
        <w:tc>
          <w:tcPr>
            <w:tcW w:w="3192" w:type="dxa"/>
          </w:tcPr>
          <w:p w:rsidR="00D00A7D" w:rsidRDefault="00D00A7D">
            <w:r>
              <w:t>Service of Complaint</w:t>
            </w:r>
          </w:p>
        </w:tc>
        <w:tc>
          <w:tcPr>
            <w:tcW w:w="3192" w:type="dxa"/>
          </w:tcPr>
          <w:p w:rsidR="00D00A7D" w:rsidRDefault="00633AC8">
            <w:r>
              <w:t xml:space="preserve">Ill. Rules on Civil Proceedings in The Trial Court, Art. II., </w:t>
            </w:r>
            <w:r w:rsidR="00BB2DA6">
              <w:t>Rule 102</w:t>
            </w:r>
            <w:r>
              <w:t>(a)-</w:t>
            </w:r>
            <w:r w:rsidR="00BB2DA6">
              <w:t>(b)</w:t>
            </w:r>
          </w:p>
        </w:tc>
        <w:tc>
          <w:tcPr>
            <w:tcW w:w="3192" w:type="dxa"/>
          </w:tcPr>
          <w:p w:rsidR="00D00A7D" w:rsidRDefault="00633AC8">
            <w:r>
              <w:t>Must be served with summons no later than 30 days after issuance of summons.</w:t>
            </w:r>
          </w:p>
        </w:tc>
      </w:tr>
      <w:tr w:rsidR="00D00A7D" w:rsidTr="00D00A7D">
        <w:tc>
          <w:tcPr>
            <w:tcW w:w="3192" w:type="dxa"/>
            <w:vMerge w:val="restart"/>
          </w:tcPr>
          <w:p w:rsidR="00D00A7D" w:rsidRDefault="00D00A7D">
            <w:r>
              <w:t>Answer</w:t>
            </w:r>
          </w:p>
        </w:tc>
        <w:tc>
          <w:tcPr>
            <w:tcW w:w="3192" w:type="dxa"/>
          </w:tcPr>
          <w:p w:rsidR="00D00A7D" w:rsidRDefault="00633AC8">
            <w:r>
              <w:t>Ill. Rules on Civil Proceedings in The Trial Court, Art. II. Rule 181(a)</w:t>
            </w:r>
          </w:p>
        </w:tc>
        <w:tc>
          <w:tcPr>
            <w:tcW w:w="3192" w:type="dxa"/>
          </w:tcPr>
          <w:p w:rsidR="00D00A7D" w:rsidRDefault="00633AC8">
            <w:r>
              <w:t>If summons requires an appearance within 30 days of service, an answer or responsive motion shall be filed on or before the last day of the 30 day period.</w:t>
            </w:r>
          </w:p>
        </w:tc>
      </w:tr>
      <w:tr w:rsidR="00D00A7D" w:rsidTr="00D00A7D">
        <w:tc>
          <w:tcPr>
            <w:tcW w:w="3192" w:type="dxa"/>
            <w:vMerge/>
          </w:tcPr>
          <w:p w:rsidR="00D00A7D" w:rsidRDefault="00D00A7D"/>
        </w:tc>
        <w:tc>
          <w:tcPr>
            <w:tcW w:w="3192" w:type="dxa"/>
          </w:tcPr>
          <w:p w:rsidR="00D00A7D" w:rsidRDefault="00633AC8">
            <w:r>
              <w:t>Ill. Rules on Civil Proceedings in The Trial Court, Art. II. Rule 181(b)</w:t>
            </w:r>
          </w:p>
        </w:tc>
        <w:tc>
          <w:tcPr>
            <w:tcW w:w="3192" w:type="dxa"/>
          </w:tcPr>
          <w:p w:rsidR="00D00A7D" w:rsidRDefault="00633AC8">
            <w:r>
              <w:t>If the summons requires appearance on a specified day, an answer or responsive motion shall be due within 10 days of the date of appearance.</w:t>
            </w:r>
          </w:p>
        </w:tc>
      </w:tr>
      <w:tr w:rsidR="00D00A7D" w:rsidTr="000E2D39">
        <w:trPr>
          <w:trHeight w:val="260"/>
        </w:trPr>
        <w:tc>
          <w:tcPr>
            <w:tcW w:w="3192" w:type="dxa"/>
            <w:vMerge w:val="restart"/>
          </w:tcPr>
          <w:p w:rsidR="00D00A7D" w:rsidRDefault="00D00A7D">
            <w:r>
              <w:t>Default Judgment</w:t>
            </w:r>
          </w:p>
        </w:tc>
        <w:tc>
          <w:tcPr>
            <w:tcW w:w="3192" w:type="dxa"/>
          </w:tcPr>
          <w:p w:rsidR="00D00A7D" w:rsidRDefault="00CB47D1">
            <w:r>
              <w:t>735 ILCS 5/2-1301(d)</w:t>
            </w:r>
          </w:p>
        </w:tc>
        <w:tc>
          <w:tcPr>
            <w:tcW w:w="3192" w:type="dxa"/>
          </w:tcPr>
          <w:p w:rsidR="00D00A7D" w:rsidRDefault="00CB47D1">
            <w:r>
              <w:t>May be entered for want of an appearance or failure to plead, but the court may request proof of the allegations of the plaintiff’s</w:t>
            </w:r>
            <w:r w:rsidR="000E2D39">
              <w:t xml:space="preserve"> </w:t>
            </w:r>
            <w:r>
              <w:t>pleadings.</w:t>
            </w:r>
          </w:p>
        </w:tc>
      </w:tr>
      <w:tr w:rsidR="00D00A7D" w:rsidTr="00D00A7D">
        <w:tc>
          <w:tcPr>
            <w:tcW w:w="3192" w:type="dxa"/>
            <w:vMerge/>
          </w:tcPr>
          <w:p w:rsidR="00D00A7D" w:rsidRDefault="00D00A7D"/>
        </w:tc>
        <w:tc>
          <w:tcPr>
            <w:tcW w:w="3192" w:type="dxa"/>
          </w:tcPr>
          <w:p w:rsidR="00D00A7D" w:rsidRDefault="00CB47D1">
            <w:r>
              <w:t>735 ILCS 5/2-1301(e)</w:t>
            </w:r>
          </w:p>
        </w:tc>
        <w:tc>
          <w:tcPr>
            <w:tcW w:w="3192" w:type="dxa"/>
          </w:tcPr>
          <w:p w:rsidR="00D00A7D" w:rsidRDefault="00CB47D1">
            <w:r>
              <w:t>The court may grant relief from default judgment; upon motion made within 30 days of default, showing any reasonable terms and conditions; or by its own discretion at any time before final order or judgment.</w:t>
            </w:r>
          </w:p>
        </w:tc>
      </w:tr>
      <w:tr w:rsidR="00D00A7D" w:rsidTr="00D00A7D">
        <w:tc>
          <w:tcPr>
            <w:tcW w:w="3192" w:type="dxa"/>
          </w:tcPr>
          <w:p w:rsidR="00D00A7D" w:rsidRDefault="00D00A7D">
            <w:r>
              <w:t>Counterclaim</w:t>
            </w:r>
          </w:p>
        </w:tc>
        <w:tc>
          <w:tcPr>
            <w:tcW w:w="3192" w:type="dxa"/>
          </w:tcPr>
          <w:p w:rsidR="00D00A7D" w:rsidRDefault="0060757D">
            <w:r>
              <w:t>735 ILCS 5/2-608</w:t>
            </w:r>
          </w:p>
        </w:tc>
        <w:tc>
          <w:tcPr>
            <w:tcW w:w="3192" w:type="dxa"/>
          </w:tcPr>
          <w:p w:rsidR="00D00A7D" w:rsidRDefault="0060757D">
            <w:r>
              <w:t>A defendant may plead any claim as a cross claim in any action.</w:t>
            </w:r>
          </w:p>
        </w:tc>
      </w:tr>
      <w:tr w:rsidR="00D00A7D" w:rsidTr="00D00A7D">
        <w:tc>
          <w:tcPr>
            <w:tcW w:w="3192" w:type="dxa"/>
          </w:tcPr>
          <w:p w:rsidR="00D00A7D" w:rsidRDefault="00D00A7D">
            <w:r>
              <w:t>Third Party Practice</w:t>
            </w:r>
          </w:p>
        </w:tc>
        <w:tc>
          <w:tcPr>
            <w:tcW w:w="3192" w:type="dxa"/>
          </w:tcPr>
          <w:p w:rsidR="00D00A7D" w:rsidRDefault="0060757D">
            <w:r>
              <w:t>735 ILCS 5/2-404 - 405</w:t>
            </w:r>
          </w:p>
        </w:tc>
        <w:tc>
          <w:tcPr>
            <w:tcW w:w="3192" w:type="dxa"/>
          </w:tcPr>
          <w:p w:rsidR="00D00A7D" w:rsidRDefault="0060757D">
            <w:r>
              <w:t>Liberal joinder of parties permitted.</w:t>
            </w:r>
          </w:p>
        </w:tc>
      </w:tr>
      <w:tr w:rsidR="00D00A7D" w:rsidTr="00D00A7D">
        <w:tc>
          <w:tcPr>
            <w:tcW w:w="3192" w:type="dxa"/>
          </w:tcPr>
          <w:p w:rsidR="00D00A7D" w:rsidRDefault="00D00A7D">
            <w:r>
              <w:t>Crossclaim</w:t>
            </w:r>
          </w:p>
        </w:tc>
        <w:tc>
          <w:tcPr>
            <w:tcW w:w="3192" w:type="dxa"/>
          </w:tcPr>
          <w:p w:rsidR="00D00A7D" w:rsidRDefault="0060757D">
            <w:r>
              <w:t>735 ILCS 5/2-608</w:t>
            </w:r>
          </w:p>
        </w:tc>
        <w:tc>
          <w:tcPr>
            <w:tcW w:w="3192" w:type="dxa"/>
          </w:tcPr>
          <w:p w:rsidR="00D00A7D" w:rsidRDefault="0060757D">
            <w:r>
              <w:t>Referred to as counterclaim in Illinois.</w:t>
            </w:r>
          </w:p>
        </w:tc>
      </w:tr>
      <w:tr w:rsidR="00D00A7D" w:rsidTr="00D00A7D">
        <w:tc>
          <w:tcPr>
            <w:tcW w:w="3192" w:type="dxa"/>
          </w:tcPr>
          <w:p w:rsidR="00D00A7D" w:rsidRDefault="00D00A7D">
            <w:r>
              <w:t>Lien Holders as Necessary Parties</w:t>
            </w:r>
          </w:p>
        </w:tc>
        <w:tc>
          <w:tcPr>
            <w:tcW w:w="3192" w:type="dxa"/>
          </w:tcPr>
          <w:p w:rsidR="00D00A7D" w:rsidRDefault="00CA1FE1">
            <w:r>
              <w:t>735 ILCS 5/2-403</w:t>
            </w:r>
          </w:p>
        </w:tc>
        <w:tc>
          <w:tcPr>
            <w:tcW w:w="3192" w:type="dxa"/>
          </w:tcPr>
          <w:p w:rsidR="00D00A7D" w:rsidRPr="00CA1FE1" w:rsidRDefault="00CA1FE1">
            <w:pPr>
              <w:rPr>
                <w:rFonts w:cs="Arial"/>
              </w:rPr>
            </w:pPr>
            <w:r w:rsidRPr="00CA1FE1">
              <w:rPr>
                <w:rStyle w:val="HTMLCode"/>
                <w:rFonts w:ascii="Arial" w:hAnsi="Arial" w:cs="Arial"/>
                <w:color w:val="000000"/>
                <w:sz w:val="24"/>
                <w:szCs w:val="24"/>
                <w:shd w:val="clear" w:color="auto" w:fill="FFFFFF"/>
              </w:rPr>
              <w:t xml:space="preserve">Any action brought by virtue of the subrogation provision of any contract or by virtue of subrogation by operation of law shall be brought either in the name or for the use of the </w:t>
            </w:r>
            <w:proofErr w:type="spellStart"/>
            <w:r w:rsidRPr="00CA1FE1">
              <w:rPr>
                <w:rStyle w:val="HTMLCode"/>
                <w:rFonts w:ascii="Arial" w:hAnsi="Arial" w:cs="Arial"/>
                <w:color w:val="000000"/>
                <w:sz w:val="24"/>
                <w:szCs w:val="24"/>
                <w:shd w:val="clear" w:color="auto" w:fill="FFFFFF"/>
              </w:rPr>
              <w:t>subrogee</w:t>
            </w:r>
            <w:proofErr w:type="spellEnd"/>
            <w:r w:rsidRPr="00CA1FE1">
              <w:rPr>
                <w:rStyle w:val="HTMLCode"/>
                <w:rFonts w:ascii="Arial" w:hAnsi="Arial" w:cs="Arial"/>
                <w:color w:val="000000"/>
                <w:sz w:val="24"/>
                <w:szCs w:val="24"/>
                <w:shd w:val="clear" w:color="auto" w:fill="FFFFFF"/>
              </w:rPr>
              <w:t xml:space="preserve">; and the </w:t>
            </w:r>
            <w:proofErr w:type="spellStart"/>
            <w:r w:rsidRPr="00CA1FE1">
              <w:rPr>
                <w:rStyle w:val="HTMLCode"/>
                <w:rFonts w:ascii="Arial" w:hAnsi="Arial" w:cs="Arial"/>
                <w:color w:val="000000"/>
                <w:sz w:val="24"/>
                <w:szCs w:val="24"/>
                <w:shd w:val="clear" w:color="auto" w:fill="FFFFFF"/>
              </w:rPr>
              <w:t>subrogee</w:t>
            </w:r>
            <w:proofErr w:type="spellEnd"/>
            <w:r w:rsidRPr="00CA1FE1">
              <w:rPr>
                <w:rStyle w:val="HTMLCode"/>
                <w:rFonts w:ascii="Arial" w:hAnsi="Arial" w:cs="Arial"/>
                <w:color w:val="000000"/>
                <w:sz w:val="24"/>
                <w:szCs w:val="24"/>
                <w:shd w:val="clear" w:color="auto" w:fill="FFFFFF"/>
              </w:rPr>
              <w:t xml:space="preserve"> shall in his or her pleading on oath, or by his or her affidavit if pleading is not required, allege that he or she is the actual bona fide </w:t>
            </w:r>
            <w:proofErr w:type="spellStart"/>
            <w:r w:rsidRPr="00CA1FE1">
              <w:rPr>
                <w:rStyle w:val="HTMLCode"/>
                <w:rFonts w:ascii="Arial" w:hAnsi="Arial" w:cs="Arial"/>
                <w:color w:val="000000"/>
                <w:sz w:val="24"/>
                <w:szCs w:val="24"/>
                <w:shd w:val="clear" w:color="auto" w:fill="FFFFFF"/>
              </w:rPr>
              <w:t>subrogee</w:t>
            </w:r>
            <w:proofErr w:type="spellEnd"/>
            <w:r w:rsidRPr="00CA1FE1">
              <w:rPr>
                <w:rStyle w:val="HTMLCode"/>
                <w:rFonts w:ascii="Arial" w:hAnsi="Arial" w:cs="Arial"/>
                <w:color w:val="000000"/>
                <w:sz w:val="24"/>
                <w:szCs w:val="24"/>
                <w:shd w:val="clear" w:color="auto" w:fill="FFFFFF"/>
              </w:rPr>
              <w:t xml:space="preserve"> and set forth how and when he or she became </w:t>
            </w:r>
            <w:proofErr w:type="spellStart"/>
            <w:r w:rsidRPr="00CA1FE1">
              <w:rPr>
                <w:rStyle w:val="HTMLCode"/>
                <w:rFonts w:ascii="Arial" w:hAnsi="Arial" w:cs="Arial"/>
                <w:color w:val="000000"/>
                <w:sz w:val="24"/>
                <w:szCs w:val="24"/>
                <w:shd w:val="clear" w:color="auto" w:fill="FFFFFF"/>
              </w:rPr>
              <w:t>subrogee</w:t>
            </w:r>
            <w:proofErr w:type="spellEnd"/>
            <w:r w:rsidRPr="00CA1FE1">
              <w:rPr>
                <w:rStyle w:val="HTMLCode"/>
                <w:rFonts w:ascii="Arial" w:hAnsi="Arial" w:cs="Arial"/>
                <w:color w:val="000000"/>
                <w:sz w:val="24"/>
                <w:szCs w:val="24"/>
                <w:shd w:val="clear" w:color="auto" w:fill="FFFFFF"/>
              </w:rPr>
              <w:t>.</w:t>
            </w:r>
            <w:r w:rsidRPr="00CA1FE1">
              <w:rPr>
                <w:rStyle w:val="apple-converted-space"/>
                <w:rFonts w:cs="Arial"/>
                <w:color w:val="000000"/>
                <w:shd w:val="clear" w:color="auto" w:fill="FFFFFF"/>
              </w:rPr>
              <w:t> </w:t>
            </w:r>
          </w:p>
        </w:tc>
      </w:tr>
      <w:tr w:rsidR="00D00A7D" w:rsidTr="00D00A7D">
        <w:tc>
          <w:tcPr>
            <w:tcW w:w="3192" w:type="dxa"/>
            <w:vMerge w:val="restart"/>
          </w:tcPr>
          <w:p w:rsidR="00D00A7D" w:rsidRDefault="00D00A7D">
            <w:r>
              <w:t>Intervention</w:t>
            </w:r>
          </w:p>
        </w:tc>
        <w:tc>
          <w:tcPr>
            <w:tcW w:w="3192" w:type="dxa"/>
          </w:tcPr>
          <w:p w:rsidR="00D00A7D" w:rsidRDefault="00CA1FE1">
            <w:r>
              <w:t>735 ILCS 5/2-408</w:t>
            </w:r>
          </w:p>
        </w:tc>
        <w:tc>
          <w:tcPr>
            <w:tcW w:w="3192" w:type="dxa"/>
          </w:tcPr>
          <w:p w:rsidR="00D00A7D" w:rsidRDefault="00CA1FE1">
            <w:r>
              <w:t>Intervention permitted</w:t>
            </w:r>
            <w:r w:rsidR="00AB398A">
              <w:t xml:space="preserve"> upon timely application</w:t>
            </w:r>
            <w:r>
              <w:t xml:space="preserve"> as of right to intervene when (1) a statute confers an unconditional right to intervene; (</w:t>
            </w:r>
            <w:r w:rsidR="00AB398A">
              <w:t>2) where the party’s interest may be inadequately represented and it will be bound by the disposition; (3) when the party is situated to be adversely affected by a disposition.</w:t>
            </w:r>
          </w:p>
          <w:p w:rsidR="00AB398A" w:rsidRDefault="00AB398A">
            <w:r>
              <w:t xml:space="preserve">Permitted upon timely </w:t>
            </w:r>
            <w:r>
              <w:lastRenderedPageBreak/>
              <w:t xml:space="preserve">application with the discretion of the court when (1) a statute confers a </w:t>
            </w:r>
            <w:r w:rsidR="0063032F">
              <w:t xml:space="preserve">conditional right; or (2) when </w:t>
            </w:r>
            <w:r>
              <w:t>a party’s claim or defense and the main action have a question of law or fact in common.</w:t>
            </w:r>
          </w:p>
        </w:tc>
      </w:tr>
      <w:tr w:rsidR="00D00A7D" w:rsidTr="00D00A7D">
        <w:tc>
          <w:tcPr>
            <w:tcW w:w="3192" w:type="dxa"/>
            <w:vMerge/>
          </w:tcPr>
          <w:p w:rsidR="00D00A7D" w:rsidRDefault="00D00A7D"/>
        </w:tc>
        <w:tc>
          <w:tcPr>
            <w:tcW w:w="3192" w:type="dxa"/>
          </w:tcPr>
          <w:p w:rsidR="00D00A7D" w:rsidRDefault="008103E9">
            <w:r>
              <w:t>735 ILCS 5/2-408</w:t>
            </w:r>
          </w:p>
        </w:tc>
        <w:tc>
          <w:tcPr>
            <w:tcW w:w="3192" w:type="dxa"/>
          </w:tcPr>
          <w:p w:rsidR="00D00A7D" w:rsidRDefault="008103E9">
            <w:r>
              <w:t>Petition to intervene</w:t>
            </w:r>
          </w:p>
        </w:tc>
      </w:tr>
      <w:tr w:rsidR="00D00A7D" w:rsidTr="00D00A7D">
        <w:tc>
          <w:tcPr>
            <w:tcW w:w="3192" w:type="dxa"/>
          </w:tcPr>
          <w:p w:rsidR="00D00A7D" w:rsidRDefault="00D00A7D">
            <w:r>
              <w:t>Indemnity</w:t>
            </w:r>
          </w:p>
        </w:tc>
        <w:tc>
          <w:tcPr>
            <w:tcW w:w="3192" w:type="dxa"/>
          </w:tcPr>
          <w:p w:rsidR="00D00A7D" w:rsidRDefault="008103E9">
            <w:r>
              <w:t>740 ILCS 35/0.01</w:t>
            </w:r>
            <w:r w:rsidR="004E4D39">
              <w:t>.  Common law.</w:t>
            </w:r>
          </w:p>
        </w:tc>
        <w:tc>
          <w:tcPr>
            <w:tcW w:w="3192" w:type="dxa"/>
          </w:tcPr>
          <w:p w:rsidR="00D00A7D" w:rsidRPr="004E4D39" w:rsidRDefault="008103E9">
            <w:r>
              <w:t xml:space="preserve">Contract provisions indemnifying a party for that party’s negligence are prohibited.  Courts, however, </w:t>
            </w:r>
            <w:r w:rsidR="004E4D39">
              <w:t xml:space="preserve">have upheld indemnity clauses where the clauses are not explicit as to whether the indemnity duty covers the claims arising from the indemnitee’s own negligence.  </w:t>
            </w:r>
            <w:r w:rsidR="00F3431D">
              <w:rPr>
                <w:u w:val="single"/>
              </w:rPr>
              <w:t xml:space="preserve">Pierre Condominium </w:t>
            </w:r>
            <w:proofErr w:type="spellStart"/>
            <w:r w:rsidR="00F3431D">
              <w:rPr>
                <w:u w:val="single"/>
              </w:rPr>
              <w:t>Ass’n</w:t>
            </w:r>
            <w:proofErr w:type="spellEnd"/>
            <w:r w:rsidR="00F3431D">
              <w:rPr>
                <w:u w:val="single"/>
              </w:rPr>
              <w:t xml:space="preserve"> v. </w:t>
            </w:r>
            <w:r w:rsidR="004E4D39">
              <w:rPr>
                <w:u w:val="single"/>
              </w:rPr>
              <w:t>Lincoln Park W. Assocs.</w:t>
            </w:r>
            <w:r w:rsidR="00F3431D">
              <w:rPr>
                <w:u w:val="single"/>
              </w:rPr>
              <w:t>, LLC</w:t>
            </w:r>
            <w:r w:rsidR="004E4D39">
              <w:t xml:space="preserve">, </w:t>
            </w:r>
            <w:r w:rsidR="00F3431D">
              <w:t xml:space="preserve">378 </w:t>
            </w:r>
            <w:r w:rsidR="004E4D39">
              <w:t xml:space="preserve">Ill. App. 3d 770 (2007); </w:t>
            </w:r>
            <w:r w:rsidR="004E4D39">
              <w:rPr>
                <w:u w:val="single"/>
              </w:rPr>
              <w:t>Virginia Surety Co. v. N. Ins. Co. of New York</w:t>
            </w:r>
            <w:r w:rsidR="004E4D39">
              <w:t>, 224 Ill. 2d 550 (2007).</w:t>
            </w:r>
          </w:p>
        </w:tc>
      </w:tr>
      <w:tr w:rsidR="00D00A7D" w:rsidTr="00D00A7D">
        <w:tc>
          <w:tcPr>
            <w:tcW w:w="3192" w:type="dxa"/>
          </w:tcPr>
          <w:p w:rsidR="00D00A7D" w:rsidRDefault="00D00A7D">
            <w:r>
              <w:t>Pre-Tender Defense Costs</w:t>
            </w:r>
          </w:p>
        </w:tc>
        <w:tc>
          <w:tcPr>
            <w:tcW w:w="3192" w:type="dxa"/>
          </w:tcPr>
          <w:p w:rsidR="00D00A7D" w:rsidRDefault="004E4D39">
            <w:r>
              <w:t>Common Law</w:t>
            </w:r>
          </w:p>
        </w:tc>
        <w:tc>
          <w:tcPr>
            <w:tcW w:w="3192" w:type="dxa"/>
          </w:tcPr>
          <w:p w:rsidR="00D00A7D" w:rsidRPr="00DE6C6D" w:rsidRDefault="004E4D39">
            <w:r>
              <w:t>Actual notice of a suit from any source without tender by the insured is sufficient to trigger the insured’s right to a defense.</w:t>
            </w:r>
            <w:r w:rsidR="00DE6C6D">
              <w:t xml:space="preserve">  </w:t>
            </w:r>
            <w:r w:rsidR="00DE6C6D">
              <w:rPr>
                <w:u w:val="single"/>
              </w:rPr>
              <w:t>Cincinnati Cos. v. West Am. Ins. Co.</w:t>
            </w:r>
            <w:r w:rsidR="00DE6C6D">
              <w:t>, 701 N.E.2d 499 (Ill. 1998).</w:t>
            </w:r>
          </w:p>
        </w:tc>
      </w:tr>
      <w:tr w:rsidR="00D00A7D" w:rsidTr="00D00A7D">
        <w:tc>
          <w:tcPr>
            <w:tcW w:w="3192" w:type="dxa"/>
          </w:tcPr>
          <w:p w:rsidR="00D00A7D" w:rsidRDefault="00D00A7D"/>
        </w:tc>
        <w:tc>
          <w:tcPr>
            <w:tcW w:w="3192" w:type="dxa"/>
          </w:tcPr>
          <w:p w:rsidR="00D00A7D" w:rsidRDefault="00D00A7D"/>
        </w:tc>
        <w:tc>
          <w:tcPr>
            <w:tcW w:w="3192" w:type="dxa"/>
          </w:tcPr>
          <w:p w:rsidR="00D00A7D" w:rsidRDefault="00D00A7D"/>
        </w:tc>
      </w:tr>
      <w:tr w:rsidR="00D00A7D" w:rsidTr="00D00A7D">
        <w:tc>
          <w:tcPr>
            <w:tcW w:w="3192" w:type="dxa"/>
          </w:tcPr>
          <w:p w:rsidR="00D00A7D" w:rsidRPr="00D00A7D" w:rsidRDefault="00034A88">
            <w:pPr>
              <w:rPr>
                <w:b/>
              </w:rPr>
            </w:pPr>
            <w:r>
              <w:rPr>
                <w:b/>
              </w:rPr>
              <w:t>B</w:t>
            </w:r>
            <w:r w:rsidR="00D00A7D" w:rsidRPr="00D00A7D">
              <w:rPr>
                <w:b/>
              </w:rPr>
              <w:t>I Claims/Defenses</w:t>
            </w:r>
          </w:p>
        </w:tc>
        <w:tc>
          <w:tcPr>
            <w:tcW w:w="3192" w:type="dxa"/>
          </w:tcPr>
          <w:p w:rsidR="00D00A7D" w:rsidRDefault="00D00A7D"/>
        </w:tc>
        <w:tc>
          <w:tcPr>
            <w:tcW w:w="3192" w:type="dxa"/>
          </w:tcPr>
          <w:p w:rsidR="00D00A7D" w:rsidRDefault="00D00A7D"/>
        </w:tc>
      </w:tr>
      <w:tr w:rsidR="00D00A7D" w:rsidTr="00D00A7D">
        <w:tc>
          <w:tcPr>
            <w:tcW w:w="3192" w:type="dxa"/>
          </w:tcPr>
          <w:p w:rsidR="00D00A7D" w:rsidRDefault="00D00A7D">
            <w:r>
              <w:t>Premises Liability</w:t>
            </w:r>
          </w:p>
        </w:tc>
        <w:tc>
          <w:tcPr>
            <w:tcW w:w="3192" w:type="dxa"/>
          </w:tcPr>
          <w:p w:rsidR="00D00A7D" w:rsidRDefault="00F55B2B">
            <w:r>
              <w:t>740 ILCS 130/2</w:t>
            </w:r>
          </w:p>
        </w:tc>
        <w:tc>
          <w:tcPr>
            <w:tcW w:w="3192" w:type="dxa"/>
          </w:tcPr>
          <w:p w:rsidR="00D00A7D" w:rsidRDefault="00F55B2B">
            <w:r>
              <w:t>The duty owed to entrants is that of reasonable care under the circumstances regarding the state of the premises or acts done or omitted on them.</w:t>
            </w:r>
          </w:p>
        </w:tc>
      </w:tr>
      <w:tr w:rsidR="00D00A7D" w:rsidTr="00D00A7D">
        <w:tc>
          <w:tcPr>
            <w:tcW w:w="3192" w:type="dxa"/>
          </w:tcPr>
          <w:p w:rsidR="00D00A7D" w:rsidRDefault="00D00A7D">
            <w:r>
              <w:t>Dog Owner Liability</w:t>
            </w:r>
          </w:p>
        </w:tc>
        <w:tc>
          <w:tcPr>
            <w:tcW w:w="3192" w:type="dxa"/>
          </w:tcPr>
          <w:p w:rsidR="00D00A7D" w:rsidRDefault="00F55B2B">
            <w:r>
              <w:t>510 ILCS 5/16</w:t>
            </w:r>
          </w:p>
        </w:tc>
        <w:tc>
          <w:tcPr>
            <w:tcW w:w="3192" w:type="dxa"/>
          </w:tcPr>
          <w:p w:rsidR="00D00A7D" w:rsidRDefault="00A44736">
            <w:r>
              <w:t>The owner of a dog is civilly liable for the full amount of the injury proximately caused by his/her dog.</w:t>
            </w:r>
          </w:p>
        </w:tc>
      </w:tr>
      <w:tr w:rsidR="00D00A7D" w:rsidTr="00D00A7D">
        <w:tc>
          <w:tcPr>
            <w:tcW w:w="3192" w:type="dxa"/>
          </w:tcPr>
          <w:p w:rsidR="00D00A7D" w:rsidRDefault="00D00A7D">
            <w:r>
              <w:lastRenderedPageBreak/>
              <w:t>Liquor Liability</w:t>
            </w:r>
          </w:p>
        </w:tc>
        <w:tc>
          <w:tcPr>
            <w:tcW w:w="3192" w:type="dxa"/>
          </w:tcPr>
          <w:p w:rsidR="00D00A7D" w:rsidRDefault="00A44736">
            <w:r>
              <w:t>235 ILCS 5/6-21</w:t>
            </w:r>
          </w:p>
        </w:tc>
        <w:tc>
          <w:tcPr>
            <w:tcW w:w="3192" w:type="dxa"/>
          </w:tcPr>
          <w:p w:rsidR="00D00A7D" w:rsidRDefault="00A44736">
            <w:r>
              <w:t>Dram shop liability.</w:t>
            </w:r>
          </w:p>
        </w:tc>
      </w:tr>
      <w:tr w:rsidR="00D00A7D" w:rsidTr="00D00A7D">
        <w:tc>
          <w:tcPr>
            <w:tcW w:w="3192" w:type="dxa"/>
          </w:tcPr>
          <w:p w:rsidR="00D00A7D" w:rsidRDefault="00D00A7D">
            <w:r>
              <w:t>Contributory Negligence</w:t>
            </w:r>
          </w:p>
        </w:tc>
        <w:tc>
          <w:tcPr>
            <w:tcW w:w="3192" w:type="dxa"/>
          </w:tcPr>
          <w:p w:rsidR="00D00A7D" w:rsidRDefault="00A44736">
            <w:r>
              <w:t>735 ILCS 5/2-1116</w:t>
            </w:r>
          </w:p>
        </w:tc>
        <w:tc>
          <w:tcPr>
            <w:tcW w:w="3192" w:type="dxa"/>
          </w:tcPr>
          <w:p w:rsidR="00D00A7D" w:rsidRDefault="00A44736" w:rsidP="00A44736">
            <w:r>
              <w:t>Not an outright bar to recovery. Plaintiff &gt; 50% at fault = barred from recovery.  Plaintiff 50% or less = damages reduced pro-rata by amount of plaintiff’s negligence.</w:t>
            </w:r>
          </w:p>
        </w:tc>
      </w:tr>
      <w:tr w:rsidR="00D00A7D" w:rsidTr="00D00A7D">
        <w:tc>
          <w:tcPr>
            <w:tcW w:w="3192" w:type="dxa"/>
          </w:tcPr>
          <w:p w:rsidR="00D00A7D" w:rsidRDefault="00D00A7D">
            <w:r>
              <w:t>Assumption of Risk</w:t>
            </w:r>
          </w:p>
        </w:tc>
        <w:tc>
          <w:tcPr>
            <w:tcW w:w="3192" w:type="dxa"/>
          </w:tcPr>
          <w:p w:rsidR="00D00A7D" w:rsidRDefault="00A44736">
            <w:r>
              <w:t>Common Law</w:t>
            </w:r>
          </w:p>
        </w:tc>
        <w:tc>
          <w:tcPr>
            <w:tcW w:w="3192" w:type="dxa"/>
          </w:tcPr>
          <w:p w:rsidR="00D00A7D" w:rsidRPr="00EC4D55" w:rsidRDefault="00A44736" w:rsidP="00EC4D55">
            <w:r>
              <w:t>Express assumption of risk</w:t>
            </w:r>
            <w:r w:rsidR="00EC4D55">
              <w:t xml:space="preserve"> bars recovery.  </w:t>
            </w:r>
            <w:r w:rsidR="00EC4D55">
              <w:rPr>
                <w:u w:val="single"/>
              </w:rPr>
              <w:t>Duffy v. Midlothian Country Club</w:t>
            </w:r>
            <w:r w:rsidR="00EC4D55">
              <w:t xml:space="preserve">, 481 N.E.2d 1037 (1st Dist. 1985).  Implied assumption of risk limits liability.  </w:t>
            </w:r>
            <w:r w:rsidR="00EC4D55">
              <w:rPr>
                <w:u w:val="single"/>
              </w:rPr>
              <w:t>Clark v. Rogers</w:t>
            </w:r>
            <w:r w:rsidR="00EC4D55">
              <w:t xml:space="preserve">, 484 N.E.2d 867 (4th Dist. 1985); </w:t>
            </w:r>
            <w:r w:rsidR="00EC4D55">
              <w:rPr>
                <w:u w:val="single"/>
              </w:rPr>
              <w:t xml:space="preserve">Gillespie </w:t>
            </w:r>
            <w:proofErr w:type="spellStart"/>
            <w:r w:rsidR="00EC4D55">
              <w:rPr>
                <w:u w:val="single"/>
              </w:rPr>
              <w:t>Cmty</w:t>
            </w:r>
            <w:proofErr w:type="spellEnd"/>
            <w:r w:rsidR="00EC4D55">
              <w:rPr>
                <w:u w:val="single"/>
              </w:rPr>
              <w:t>. Unit Sch. Dist. No. 7 v. Union Pac. R.R. Co.</w:t>
            </w:r>
            <w:r w:rsidR="00EC4D55">
              <w:t>, 2015 Ill. App. LEXIS 845 (Nov. 6, 2015).</w:t>
            </w:r>
          </w:p>
        </w:tc>
      </w:tr>
      <w:tr w:rsidR="00D00A7D" w:rsidTr="00D00A7D">
        <w:tc>
          <w:tcPr>
            <w:tcW w:w="3192" w:type="dxa"/>
          </w:tcPr>
          <w:p w:rsidR="00D00A7D" w:rsidRDefault="00D00A7D">
            <w:r>
              <w:t>Open and Obvious</w:t>
            </w:r>
          </w:p>
        </w:tc>
        <w:tc>
          <w:tcPr>
            <w:tcW w:w="3192" w:type="dxa"/>
          </w:tcPr>
          <w:p w:rsidR="00D00A7D" w:rsidRDefault="00A24F7D">
            <w:r>
              <w:t>Common Law</w:t>
            </w:r>
          </w:p>
        </w:tc>
        <w:tc>
          <w:tcPr>
            <w:tcW w:w="3192" w:type="dxa"/>
          </w:tcPr>
          <w:p w:rsidR="00D00A7D" w:rsidRPr="00A24F7D" w:rsidRDefault="00A24F7D">
            <w:r>
              <w:t xml:space="preserve">Generally, a landowner has no duty to warn of open and obvious conditions.  </w:t>
            </w:r>
            <w:proofErr w:type="spellStart"/>
            <w:r>
              <w:rPr>
                <w:u w:val="single"/>
              </w:rPr>
              <w:t>Bucheleres</w:t>
            </w:r>
            <w:proofErr w:type="spellEnd"/>
            <w:r>
              <w:rPr>
                <w:u w:val="single"/>
              </w:rPr>
              <w:t xml:space="preserve"> v. Chi. Park Dist.</w:t>
            </w:r>
            <w:r>
              <w:t>, 665 N.E.2d 826 (Ill. 1996).</w:t>
            </w:r>
          </w:p>
        </w:tc>
      </w:tr>
      <w:tr w:rsidR="00D00A7D" w:rsidTr="00D00A7D">
        <w:tc>
          <w:tcPr>
            <w:tcW w:w="3192" w:type="dxa"/>
          </w:tcPr>
          <w:p w:rsidR="00D00A7D" w:rsidRDefault="00D00A7D">
            <w:r>
              <w:t>Seat Belt Defense</w:t>
            </w:r>
          </w:p>
        </w:tc>
        <w:tc>
          <w:tcPr>
            <w:tcW w:w="3192" w:type="dxa"/>
          </w:tcPr>
          <w:p w:rsidR="00D00A7D" w:rsidRDefault="00F27B82">
            <w:r>
              <w:t>Common Law</w:t>
            </w:r>
          </w:p>
        </w:tc>
        <w:tc>
          <w:tcPr>
            <w:tcW w:w="3192" w:type="dxa"/>
          </w:tcPr>
          <w:p w:rsidR="00D00A7D" w:rsidRPr="00F27B82" w:rsidRDefault="00F27B82">
            <w:r>
              <w:t xml:space="preserve">Failure to wear a seatbelt cannot be raised as a defense in effort to deduct from the total recovery.  </w:t>
            </w:r>
            <w:r>
              <w:rPr>
                <w:u w:val="single"/>
              </w:rPr>
              <w:t>Clarkson v. Wright</w:t>
            </w:r>
            <w:r>
              <w:t>, 483 N.E.2d 268 (Ill. 1985).</w:t>
            </w:r>
          </w:p>
        </w:tc>
      </w:tr>
      <w:tr w:rsidR="00D00A7D" w:rsidTr="00D00A7D">
        <w:tc>
          <w:tcPr>
            <w:tcW w:w="3192" w:type="dxa"/>
          </w:tcPr>
          <w:p w:rsidR="00D00A7D" w:rsidRDefault="00D00A7D">
            <w:r>
              <w:t>Product Liability</w:t>
            </w:r>
          </w:p>
        </w:tc>
        <w:tc>
          <w:tcPr>
            <w:tcW w:w="3192" w:type="dxa"/>
          </w:tcPr>
          <w:p w:rsidR="00D00A7D" w:rsidRDefault="00F27B82">
            <w:r>
              <w:t>Common Law</w:t>
            </w:r>
          </w:p>
        </w:tc>
        <w:tc>
          <w:tcPr>
            <w:tcW w:w="3192" w:type="dxa"/>
          </w:tcPr>
          <w:p w:rsidR="00D00A7D" w:rsidRPr="00F27B82" w:rsidRDefault="00F27B82">
            <w:r>
              <w:t xml:space="preserve">Plaintiff may sue under theory of negligence or strict liability.  </w:t>
            </w:r>
            <w:r>
              <w:rPr>
                <w:u w:val="single"/>
              </w:rPr>
              <w:t>Coney v. J.L.G., Inc.</w:t>
            </w:r>
            <w:r>
              <w:t>, 454 N.E.2d 197 (Ill. 1983).</w:t>
            </w:r>
          </w:p>
        </w:tc>
      </w:tr>
      <w:tr w:rsidR="00D00A7D" w:rsidTr="00D00A7D">
        <w:tc>
          <w:tcPr>
            <w:tcW w:w="3192" w:type="dxa"/>
          </w:tcPr>
          <w:p w:rsidR="00D00A7D" w:rsidRPr="00D00A7D" w:rsidRDefault="00D00A7D">
            <w:pPr>
              <w:rPr>
                <w:i/>
              </w:rPr>
            </w:pPr>
            <w:r>
              <w:rPr>
                <w:i/>
              </w:rPr>
              <w:t>Sophisticated User Defense</w:t>
            </w:r>
          </w:p>
        </w:tc>
        <w:tc>
          <w:tcPr>
            <w:tcW w:w="3192" w:type="dxa"/>
          </w:tcPr>
          <w:p w:rsidR="00D00A7D" w:rsidRDefault="00364CDB">
            <w:r>
              <w:t>Common Law</w:t>
            </w:r>
          </w:p>
        </w:tc>
        <w:tc>
          <w:tcPr>
            <w:tcW w:w="3192" w:type="dxa"/>
          </w:tcPr>
          <w:p w:rsidR="00D00A7D" w:rsidRPr="00145A83" w:rsidRDefault="00145A83">
            <w:r>
              <w:t xml:space="preserve">Lesser duty to warn a sophisticated party.  </w:t>
            </w:r>
            <w:proofErr w:type="spellStart"/>
            <w:r>
              <w:rPr>
                <w:u w:val="single"/>
              </w:rPr>
              <w:t>Werckenthein</w:t>
            </w:r>
            <w:proofErr w:type="spellEnd"/>
            <w:r>
              <w:rPr>
                <w:u w:val="single"/>
              </w:rPr>
              <w:t xml:space="preserve"> v. Bucher Petrochemical Co.</w:t>
            </w:r>
            <w:r>
              <w:t>, 618 N.E.2d 902 (1st Dist. 1993).</w:t>
            </w:r>
          </w:p>
        </w:tc>
      </w:tr>
      <w:tr w:rsidR="00D00A7D" w:rsidTr="00D00A7D">
        <w:tc>
          <w:tcPr>
            <w:tcW w:w="3192" w:type="dxa"/>
          </w:tcPr>
          <w:p w:rsidR="00D00A7D" w:rsidRPr="00D00A7D" w:rsidRDefault="00D00A7D">
            <w:pPr>
              <w:rPr>
                <w:i/>
              </w:rPr>
            </w:pPr>
            <w:r>
              <w:rPr>
                <w:i/>
              </w:rPr>
              <w:t>Plaintiff’s Burden regarding condition of Product</w:t>
            </w:r>
          </w:p>
        </w:tc>
        <w:tc>
          <w:tcPr>
            <w:tcW w:w="3192" w:type="dxa"/>
          </w:tcPr>
          <w:p w:rsidR="00D00A7D" w:rsidRDefault="00BD4FAB">
            <w:r>
              <w:t>Common Law</w:t>
            </w:r>
          </w:p>
        </w:tc>
        <w:tc>
          <w:tcPr>
            <w:tcW w:w="3192" w:type="dxa"/>
          </w:tcPr>
          <w:p w:rsidR="00D00A7D" w:rsidRPr="00FB1E64" w:rsidRDefault="00BD4FAB" w:rsidP="00FB1E64">
            <w:r>
              <w:t xml:space="preserve">Under both theories of liability, a plaintiff must prove that the product was defective.  </w:t>
            </w:r>
            <w:proofErr w:type="spellStart"/>
            <w:r w:rsidR="00FB1E64">
              <w:rPr>
                <w:u w:val="single"/>
              </w:rPr>
              <w:t>Korando</w:t>
            </w:r>
            <w:proofErr w:type="spellEnd"/>
            <w:r w:rsidR="00FB1E64">
              <w:rPr>
                <w:u w:val="single"/>
              </w:rPr>
              <w:t xml:space="preserve"> v. </w:t>
            </w:r>
            <w:r w:rsidR="00FB1E64">
              <w:rPr>
                <w:u w:val="single"/>
              </w:rPr>
              <w:lastRenderedPageBreak/>
              <w:t>Uniroyal Goodrich Tire Co.</w:t>
            </w:r>
            <w:r w:rsidR="00FB1E64">
              <w:t>, 637 N.E.2d 1020 (Ill. 1994).</w:t>
            </w:r>
          </w:p>
        </w:tc>
      </w:tr>
      <w:tr w:rsidR="00D00A7D" w:rsidTr="00D00A7D">
        <w:tc>
          <w:tcPr>
            <w:tcW w:w="3192" w:type="dxa"/>
          </w:tcPr>
          <w:p w:rsidR="00D00A7D" w:rsidRPr="00D00A7D" w:rsidRDefault="00D00A7D">
            <w:pPr>
              <w:rPr>
                <w:i/>
              </w:rPr>
            </w:pPr>
            <w:r>
              <w:rPr>
                <w:i/>
              </w:rPr>
              <w:lastRenderedPageBreak/>
              <w:t>Misuse/Contributory Negligence</w:t>
            </w:r>
          </w:p>
        </w:tc>
        <w:tc>
          <w:tcPr>
            <w:tcW w:w="3192" w:type="dxa"/>
          </w:tcPr>
          <w:p w:rsidR="00D00A7D" w:rsidRDefault="00FB1E64">
            <w:r>
              <w:t>Common Law</w:t>
            </w:r>
          </w:p>
        </w:tc>
        <w:tc>
          <w:tcPr>
            <w:tcW w:w="3192" w:type="dxa"/>
          </w:tcPr>
          <w:p w:rsidR="00D00A7D" w:rsidRPr="00FB1E64" w:rsidRDefault="00FB1E64">
            <w:r>
              <w:t xml:space="preserve">Damages for plaintiff’s injuries are apportioned on basis of relative degree to which defective product and plaintiff’s conduct proximately caused them.  </w:t>
            </w:r>
            <w:r>
              <w:rPr>
                <w:u w:val="single"/>
              </w:rPr>
              <w:t xml:space="preserve">Calles v. </w:t>
            </w:r>
            <w:proofErr w:type="spellStart"/>
            <w:r>
              <w:rPr>
                <w:u w:val="single"/>
              </w:rPr>
              <w:t>Scripto</w:t>
            </w:r>
            <w:proofErr w:type="spellEnd"/>
            <w:r>
              <w:rPr>
                <w:u w:val="single"/>
              </w:rPr>
              <w:t>-Tokai Corp.</w:t>
            </w:r>
            <w:r>
              <w:t>, 864 N.E.2d 249 (Ill. 2007).</w:t>
            </w:r>
          </w:p>
        </w:tc>
      </w:tr>
      <w:tr w:rsidR="00D00A7D" w:rsidTr="00D00A7D">
        <w:tc>
          <w:tcPr>
            <w:tcW w:w="3192" w:type="dxa"/>
          </w:tcPr>
          <w:p w:rsidR="00D00A7D" w:rsidRDefault="00D00A7D">
            <w:r>
              <w:t>Wrongful Death</w:t>
            </w:r>
          </w:p>
        </w:tc>
        <w:tc>
          <w:tcPr>
            <w:tcW w:w="3192" w:type="dxa"/>
          </w:tcPr>
          <w:p w:rsidR="00D00A7D" w:rsidRDefault="00103366">
            <w:r>
              <w:t>740 ILCS 180/2</w:t>
            </w:r>
          </w:p>
        </w:tc>
        <w:tc>
          <w:tcPr>
            <w:tcW w:w="3192" w:type="dxa"/>
          </w:tcPr>
          <w:p w:rsidR="00D00A7D" w:rsidRDefault="00103366">
            <w:r>
              <w:t>Recognized cause of action.  Plaintiff may recover for the benefit of the surviving spouse and next of kin of the deceased.</w:t>
            </w:r>
          </w:p>
        </w:tc>
      </w:tr>
      <w:tr w:rsidR="00D00A7D" w:rsidTr="00D00A7D">
        <w:tc>
          <w:tcPr>
            <w:tcW w:w="3192" w:type="dxa"/>
          </w:tcPr>
          <w:p w:rsidR="00D00A7D" w:rsidRDefault="00D00A7D">
            <w:r>
              <w:t>Punitive Damages</w:t>
            </w:r>
          </w:p>
        </w:tc>
        <w:tc>
          <w:tcPr>
            <w:tcW w:w="3192" w:type="dxa"/>
          </w:tcPr>
          <w:p w:rsidR="00D00A7D" w:rsidRDefault="00BA4CF4">
            <w:r>
              <w:t>Common Law</w:t>
            </w:r>
          </w:p>
        </w:tc>
        <w:tc>
          <w:tcPr>
            <w:tcW w:w="3192" w:type="dxa"/>
          </w:tcPr>
          <w:p w:rsidR="00D00A7D" w:rsidRPr="00BA4CF4" w:rsidRDefault="00BA4CF4">
            <w:r>
              <w:t xml:space="preserve">Punitive damages may be awarded if defendant’s culpability, after having paid compensatory damages, is </w:t>
            </w:r>
            <w:proofErr w:type="gramStart"/>
            <w:r>
              <w:t>so</w:t>
            </w:r>
            <w:proofErr w:type="gramEnd"/>
            <w:r>
              <w:t xml:space="preserve"> reprehensible as to warran</w:t>
            </w:r>
            <w:r w:rsidR="0063032F">
              <w:t>t</w:t>
            </w:r>
            <w:r>
              <w:t xml:space="preserve"> the imposition of further sanctions to achieve punishment or deterrence.  </w:t>
            </w:r>
            <w:r>
              <w:rPr>
                <w:u w:val="single"/>
              </w:rPr>
              <w:t>Int’l Union of Operating Engineers, Local 150 v. Excavating Co.</w:t>
            </w:r>
            <w:r>
              <w:t>, 870 N.E.2d 303 (Ill. 2006).</w:t>
            </w:r>
          </w:p>
        </w:tc>
      </w:tr>
      <w:tr w:rsidR="000E2D39" w:rsidTr="00D00A7D">
        <w:tc>
          <w:tcPr>
            <w:tcW w:w="3192" w:type="dxa"/>
          </w:tcPr>
          <w:p w:rsidR="000E2D39" w:rsidRDefault="000E2D39">
            <w:pPr>
              <w:rPr>
                <w:b/>
              </w:rPr>
            </w:pPr>
          </w:p>
        </w:tc>
        <w:tc>
          <w:tcPr>
            <w:tcW w:w="3192" w:type="dxa"/>
          </w:tcPr>
          <w:p w:rsidR="000E2D39" w:rsidRDefault="000E2D39"/>
        </w:tc>
        <w:tc>
          <w:tcPr>
            <w:tcW w:w="3192" w:type="dxa"/>
          </w:tcPr>
          <w:p w:rsidR="000E2D39" w:rsidRDefault="000E2D39"/>
        </w:tc>
      </w:tr>
      <w:tr w:rsidR="00D00A7D" w:rsidTr="00D00A7D">
        <w:tc>
          <w:tcPr>
            <w:tcW w:w="3192" w:type="dxa"/>
          </w:tcPr>
          <w:p w:rsidR="00D00A7D" w:rsidRPr="00D00A7D" w:rsidRDefault="00D00A7D">
            <w:pPr>
              <w:rPr>
                <w:b/>
              </w:rPr>
            </w:pPr>
            <w:r>
              <w:rPr>
                <w:b/>
              </w:rPr>
              <w:t>Damages/Caps</w:t>
            </w:r>
          </w:p>
        </w:tc>
        <w:tc>
          <w:tcPr>
            <w:tcW w:w="3192" w:type="dxa"/>
          </w:tcPr>
          <w:p w:rsidR="00D00A7D" w:rsidRDefault="00D00A7D"/>
        </w:tc>
        <w:tc>
          <w:tcPr>
            <w:tcW w:w="3192" w:type="dxa"/>
          </w:tcPr>
          <w:p w:rsidR="00D00A7D" w:rsidRDefault="00D00A7D"/>
        </w:tc>
      </w:tr>
      <w:tr w:rsidR="00D00A7D" w:rsidTr="00D00A7D">
        <w:tc>
          <w:tcPr>
            <w:tcW w:w="3192" w:type="dxa"/>
          </w:tcPr>
          <w:p w:rsidR="00D00A7D" w:rsidRDefault="00D00A7D">
            <w:r>
              <w:t>Governmental Immunity</w:t>
            </w:r>
          </w:p>
        </w:tc>
        <w:tc>
          <w:tcPr>
            <w:tcW w:w="3192" w:type="dxa"/>
          </w:tcPr>
          <w:p w:rsidR="00D00A7D" w:rsidRDefault="00BA4CF4">
            <w:r>
              <w:t>745 ILCS 10</w:t>
            </w:r>
            <w:bookmarkStart w:id="0" w:name="_GoBack"/>
            <w:bookmarkEnd w:id="0"/>
            <w:r>
              <w:t>/2-204</w:t>
            </w:r>
          </w:p>
        </w:tc>
        <w:tc>
          <w:tcPr>
            <w:tcW w:w="3192" w:type="dxa"/>
          </w:tcPr>
          <w:p w:rsidR="00D00A7D" w:rsidRDefault="00BA4CF4">
            <w:r>
              <w:t>Generally, a public employee serving in a position involving the determination of policy or the exercise of discretion is not liable for an injury resulting from his act or omission in</w:t>
            </w:r>
            <w:r w:rsidR="006E460C">
              <w:t xml:space="preserve"> determining policy when acting </w:t>
            </w:r>
            <w:r>
              <w:t>in the exercise of such discretion even though abused.</w:t>
            </w:r>
          </w:p>
        </w:tc>
      </w:tr>
      <w:tr w:rsidR="00D00A7D" w:rsidTr="00D00A7D">
        <w:tc>
          <w:tcPr>
            <w:tcW w:w="3192" w:type="dxa"/>
          </w:tcPr>
          <w:p w:rsidR="00D00A7D" w:rsidRDefault="00D00A7D">
            <w:r>
              <w:t>Med. Malpractice</w:t>
            </w:r>
          </w:p>
        </w:tc>
        <w:tc>
          <w:tcPr>
            <w:tcW w:w="3192" w:type="dxa"/>
          </w:tcPr>
          <w:p w:rsidR="00D00A7D" w:rsidRDefault="00BA4CF4">
            <w:r>
              <w:t>Common Law</w:t>
            </w:r>
          </w:p>
        </w:tc>
        <w:tc>
          <w:tcPr>
            <w:tcW w:w="3192" w:type="dxa"/>
          </w:tcPr>
          <w:p w:rsidR="00D00A7D" w:rsidRPr="0077343E" w:rsidRDefault="0077343E">
            <w:r>
              <w:t xml:space="preserve">Caps on medical malpractice damages are not permitted.  </w:t>
            </w:r>
            <w:proofErr w:type="spellStart"/>
            <w:r>
              <w:rPr>
                <w:u w:val="single"/>
              </w:rPr>
              <w:t>Lebron</w:t>
            </w:r>
            <w:proofErr w:type="spellEnd"/>
            <w:r>
              <w:rPr>
                <w:u w:val="single"/>
              </w:rPr>
              <w:t xml:space="preserve"> v. Gottlieb Mem. Hosp.</w:t>
            </w:r>
            <w:r>
              <w:t>, 930 N.E.2d 895 (Ill. 2010).</w:t>
            </w:r>
          </w:p>
        </w:tc>
      </w:tr>
      <w:tr w:rsidR="00D00A7D" w:rsidTr="00D00A7D">
        <w:tc>
          <w:tcPr>
            <w:tcW w:w="3192" w:type="dxa"/>
          </w:tcPr>
          <w:p w:rsidR="00D00A7D" w:rsidRDefault="00D00A7D">
            <w:r>
              <w:lastRenderedPageBreak/>
              <w:t>Small Claims</w:t>
            </w:r>
          </w:p>
        </w:tc>
        <w:tc>
          <w:tcPr>
            <w:tcW w:w="3192" w:type="dxa"/>
          </w:tcPr>
          <w:p w:rsidR="00D00A7D" w:rsidRDefault="0077343E">
            <w:r>
              <w:t>Illinois Sup. Ct. Rule 281</w:t>
            </w:r>
          </w:p>
        </w:tc>
        <w:tc>
          <w:tcPr>
            <w:tcW w:w="3192" w:type="dxa"/>
          </w:tcPr>
          <w:p w:rsidR="00D00A7D" w:rsidRDefault="00904A3A">
            <w:r>
              <w:t>A small claim is a “civil action based on either tort or contract for money not in excess of $10,000, exclusive of interest or costs.”</w:t>
            </w:r>
          </w:p>
        </w:tc>
      </w:tr>
      <w:tr w:rsidR="00D00A7D" w:rsidTr="00D00A7D">
        <w:tc>
          <w:tcPr>
            <w:tcW w:w="3192" w:type="dxa"/>
          </w:tcPr>
          <w:p w:rsidR="00D00A7D" w:rsidRDefault="00D00A7D">
            <w:r>
              <w:t>Wrongful Death</w:t>
            </w:r>
          </w:p>
        </w:tc>
        <w:tc>
          <w:tcPr>
            <w:tcW w:w="3192" w:type="dxa"/>
          </w:tcPr>
          <w:p w:rsidR="00D00A7D" w:rsidRDefault="00F9635F">
            <w:r>
              <w:t>Common Law</w:t>
            </w:r>
          </w:p>
        </w:tc>
        <w:tc>
          <w:tcPr>
            <w:tcW w:w="3192" w:type="dxa"/>
          </w:tcPr>
          <w:p w:rsidR="00D00A7D" w:rsidRPr="00F9635F" w:rsidRDefault="00F9635F">
            <w:r>
              <w:t xml:space="preserve">No cap on economic or non-economic damages.  </w:t>
            </w:r>
            <w:r>
              <w:rPr>
                <w:u w:val="single"/>
              </w:rPr>
              <w:t>Best v. Taylor Machine Works</w:t>
            </w:r>
            <w:r>
              <w:t>, 179 Ill.2d 367 (1997).</w:t>
            </w:r>
          </w:p>
        </w:tc>
      </w:tr>
      <w:tr w:rsidR="00D00A7D" w:rsidTr="00D00A7D">
        <w:tc>
          <w:tcPr>
            <w:tcW w:w="3192" w:type="dxa"/>
          </w:tcPr>
          <w:p w:rsidR="00D00A7D" w:rsidRDefault="00D00A7D"/>
        </w:tc>
        <w:tc>
          <w:tcPr>
            <w:tcW w:w="3192" w:type="dxa"/>
          </w:tcPr>
          <w:p w:rsidR="00D00A7D" w:rsidRDefault="00D00A7D"/>
        </w:tc>
        <w:tc>
          <w:tcPr>
            <w:tcW w:w="3192" w:type="dxa"/>
          </w:tcPr>
          <w:p w:rsidR="00D00A7D" w:rsidRDefault="00D00A7D"/>
        </w:tc>
      </w:tr>
      <w:tr w:rsidR="00D00A7D" w:rsidTr="00D00A7D">
        <w:tc>
          <w:tcPr>
            <w:tcW w:w="3192" w:type="dxa"/>
          </w:tcPr>
          <w:p w:rsidR="00D00A7D" w:rsidRPr="00D00A7D" w:rsidRDefault="00D00A7D">
            <w:pPr>
              <w:rPr>
                <w:b/>
              </w:rPr>
            </w:pPr>
            <w:r>
              <w:rPr>
                <w:b/>
              </w:rPr>
              <w:t>Post-Verdict Issues</w:t>
            </w:r>
          </w:p>
        </w:tc>
        <w:tc>
          <w:tcPr>
            <w:tcW w:w="3192" w:type="dxa"/>
          </w:tcPr>
          <w:p w:rsidR="00D00A7D" w:rsidRDefault="00D00A7D"/>
        </w:tc>
        <w:tc>
          <w:tcPr>
            <w:tcW w:w="3192" w:type="dxa"/>
          </w:tcPr>
          <w:p w:rsidR="00D00A7D" w:rsidRDefault="00D00A7D"/>
        </w:tc>
      </w:tr>
      <w:tr w:rsidR="00D00A7D" w:rsidTr="00D00A7D">
        <w:tc>
          <w:tcPr>
            <w:tcW w:w="3192" w:type="dxa"/>
          </w:tcPr>
          <w:p w:rsidR="00D00A7D" w:rsidRDefault="00D00A7D">
            <w:r>
              <w:t>Costs</w:t>
            </w:r>
          </w:p>
        </w:tc>
        <w:tc>
          <w:tcPr>
            <w:tcW w:w="3192" w:type="dxa"/>
          </w:tcPr>
          <w:p w:rsidR="00D00A7D" w:rsidRDefault="00AD1F06">
            <w:r>
              <w:t>750 ILCS 5/508</w:t>
            </w:r>
          </w:p>
        </w:tc>
        <w:tc>
          <w:tcPr>
            <w:tcW w:w="3192" w:type="dxa"/>
          </w:tcPr>
          <w:p w:rsidR="00D00A7D" w:rsidRDefault="00AD1F06">
            <w:r>
              <w:t>The court may order any party to pay a reasonable amount for his own or the other party’s costs and attorney’s fees.</w:t>
            </w:r>
          </w:p>
        </w:tc>
      </w:tr>
      <w:tr w:rsidR="00D00A7D" w:rsidTr="00D00A7D">
        <w:tc>
          <w:tcPr>
            <w:tcW w:w="3192" w:type="dxa"/>
          </w:tcPr>
          <w:p w:rsidR="00D00A7D" w:rsidRDefault="00D00A7D">
            <w:r>
              <w:t>Pre-Judgment Interest</w:t>
            </w:r>
          </w:p>
        </w:tc>
        <w:tc>
          <w:tcPr>
            <w:tcW w:w="3192" w:type="dxa"/>
          </w:tcPr>
          <w:p w:rsidR="00D00A7D" w:rsidRDefault="00AD1F06">
            <w:r>
              <w:t>815 ILCS 205/1</w:t>
            </w:r>
          </w:p>
        </w:tc>
        <w:tc>
          <w:tcPr>
            <w:tcW w:w="3192" w:type="dxa"/>
          </w:tcPr>
          <w:p w:rsidR="00D00A7D" w:rsidRDefault="00AD1F06">
            <w:r>
              <w:t>5% interest per annu</w:t>
            </w:r>
            <w:r w:rsidR="00DE00FC">
              <w:t>m for all moneys after they become due.</w:t>
            </w:r>
          </w:p>
        </w:tc>
      </w:tr>
      <w:tr w:rsidR="00D00A7D" w:rsidTr="00D00A7D">
        <w:tc>
          <w:tcPr>
            <w:tcW w:w="3192" w:type="dxa"/>
          </w:tcPr>
          <w:p w:rsidR="00D00A7D" w:rsidRDefault="00D00A7D">
            <w:r>
              <w:t>Post-Judgment Interest</w:t>
            </w:r>
          </w:p>
        </w:tc>
        <w:tc>
          <w:tcPr>
            <w:tcW w:w="3192" w:type="dxa"/>
          </w:tcPr>
          <w:p w:rsidR="00D00A7D" w:rsidRDefault="00DE00FC">
            <w:r>
              <w:t>815 ILCS 205/2</w:t>
            </w:r>
          </w:p>
        </w:tc>
        <w:tc>
          <w:tcPr>
            <w:tcW w:w="3192" w:type="dxa"/>
          </w:tcPr>
          <w:p w:rsidR="00D00A7D" w:rsidRDefault="00DE00FC">
            <w:r>
              <w:t>9% interest per annum from the date of the judgment until satisfied.</w:t>
            </w:r>
          </w:p>
        </w:tc>
      </w:tr>
      <w:tr w:rsidR="00D00A7D" w:rsidTr="00D00A7D">
        <w:tc>
          <w:tcPr>
            <w:tcW w:w="3192" w:type="dxa"/>
          </w:tcPr>
          <w:p w:rsidR="00D00A7D" w:rsidRDefault="00D00A7D">
            <w:r>
              <w:t>Joint and Several Liability</w:t>
            </w:r>
          </w:p>
        </w:tc>
        <w:tc>
          <w:tcPr>
            <w:tcW w:w="3192" w:type="dxa"/>
          </w:tcPr>
          <w:p w:rsidR="00D00A7D" w:rsidRDefault="00DE00FC">
            <w:r>
              <w:t>735 ILCS 5/2-1117</w:t>
            </w:r>
          </w:p>
        </w:tc>
        <w:tc>
          <w:tcPr>
            <w:tcW w:w="3192" w:type="dxa"/>
          </w:tcPr>
          <w:p w:rsidR="00D00A7D" w:rsidRDefault="00DE00FC">
            <w:r>
              <w:t>Illinois defendants are jointly and severally liable for damages unless that defendant bears less than ¼ of the plaintiff’s own liability.</w:t>
            </w:r>
          </w:p>
        </w:tc>
      </w:tr>
      <w:tr w:rsidR="00D00A7D" w:rsidTr="00D00A7D">
        <w:tc>
          <w:tcPr>
            <w:tcW w:w="3192" w:type="dxa"/>
          </w:tcPr>
          <w:p w:rsidR="00D00A7D" w:rsidRDefault="00D00A7D">
            <w:r>
              <w:t>Made Whole Doctrine</w:t>
            </w:r>
          </w:p>
        </w:tc>
        <w:tc>
          <w:tcPr>
            <w:tcW w:w="3192" w:type="dxa"/>
          </w:tcPr>
          <w:p w:rsidR="00D00A7D" w:rsidRDefault="00DE00FC">
            <w:r>
              <w:t>Common Law</w:t>
            </w:r>
          </w:p>
        </w:tc>
        <w:tc>
          <w:tcPr>
            <w:tcW w:w="3192" w:type="dxa"/>
          </w:tcPr>
          <w:p w:rsidR="00D00A7D" w:rsidRPr="00DE00FC" w:rsidRDefault="00DE00FC" w:rsidP="00CC4C63">
            <w:r>
              <w:t xml:space="preserve">Not applied in Illinois.  </w:t>
            </w:r>
            <w:r>
              <w:rPr>
                <w:u w:val="single"/>
              </w:rPr>
              <w:t>In re Estate of Scott</w:t>
            </w:r>
            <w:r>
              <w:t xml:space="preserve">, </w:t>
            </w:r>
            <w:r w:rsidR="00CC4C63">
              <w:t>783 N.E.2d 106 (Ill. 2003).</w:t>
            </w:r>
          </w:p>
        </w:tc>
      </w:tr>
      <w:tr w:rsidR="00D00A7D" w:rsidTr="00D00A7D">
        <w:tc>
          <w:tcPr>
            <w:tcW w:w="3192" w:type="dxa"/>
          </w:tcPr>
          <w:p w:rsidR="00D00A7D" w:rsidRDefault="00D00A7D">
            <w:r>
              <w:t>Offer of Judgments/Offer of Settlement</w:t>
            </w:r>
          </w:p>
        </w:tc>
        <w:tc>
          <w:tcPr>
            <w:tcW w:w="3192" w:type="dxa"/>
          </w:tcPr>
          <w:p w:rsidR="00D00A7D" w:rsidRDefault="00CC4C63">
            <w:r>
              <w:t>815 ILCS 505/10a</w:t>
            </w:r>
          </w:p>
        </w:tc>
        <w:tc>
          <w:tcPr>
            <w:tcW w:w="3192" w:type="dxa"/>
          </w:tcPr>
          <w:p w:rsidR="00D00A7D" w:rsidRDefault="00CC4C63">
            <w:r>
              <w:t>If a party does not accept an offer for settlement and fails to obtain a judgment in an amount more than the total offer of settlement, that party forfeits and the court may not award any compensation for attorney’s fees and costs incurred after the date of the offer.</w:t>
            </w:r>
          </w:p>
        </w:tc>
      </w:tr>
      <w:tr w:rsidR="00D00A7D" w:rsidTr="00D00A7D">
        <w:tc>
          <w:tcPr>
            <w:tcW w:w="3192" w:type="dxa"/>
          </w:tcPr>
          <w:p w:rsidR="00D00A7D" w:rsidRDefault="00D00A7D">
            <w:r>
              <w:t>Contribution</w:t>
            </w:r>
          </w:p>
        </w:tc>
        <w:tc>
          <w:tcPr>
            <w:tcW w:w="3192" w:type="dxa"/>
          </w:tcPr>
          <w:p w:rsidR="00D00A7D" w:rsidRDefault="00CC4C63">
            <w:r>
              <w:t>740 ILCS 100/2</w:t>
            </w:r>
          </w:p>
        </w:tc>
        <w:tc>
          <w:tcPr>
            <w:tcW w:w="3192" w:type="dxa"/>
          </w:tcPr>
          <w:p w:rsidR="00D00A7D" w:rsidRPr="00115B47" w:rsidRDefault="00115B47">
            <w:pPr>
              <w:rPr>
                <w:rFonts w:cs="Arial"/>
              </w:rPr>
            </w:pPr>
            <w:r w:rsidRPr="00115B47">
              <w:rPr>
                <w:rFonts w:cs="Arial"/>
                <w:shd w:val="clear" w:color="auto" w:fill="FFFFFF"/>
              </w:rPr>
              <w:t xml:space="preserve">Right of contribution exists between two or more parties liable for injury or </w:t>
            </w:r>
            <w:r w:rsidRPr="00115B47">
              <w:rPr>
                <w:rFonts w:cs="Arial"/>
                <w:shd w:val="clear" w:color="auto" w:fill="FFFFFF"/>
              </w:rPr>
              <w:lastRenderedPageBreak/>
              <w:t>property damage even if there is no judgment against any or all of them. Also applies anytime a plaintiff collects damages inconsistent with jury’s finding of percentage of responsibility. No contribution against parties who settle in good faith.</w:t>
            </w:r>
            <w:r w:rsidRPr="00115B47">
              <w:rPr>
                <w:rStyle w:val="apple-converted-space"/>
                <w:rFonts w:cs="Arial"/>
                <w:shd w:val="clear" w:color="auto" w:fill="FFFFFF"/>
              </w:rPr>
              <w:t> </w:t>
            </w:r>
          </w:p>
        </w:tc>
      </w:tr>
      <w:tr w:rsidR="00D00A7D" w:rsidTr="00D00A7D">
        <w:tc>
          <w:tcPr>
            <w:tcW w:w="3192" w:type="dxa"/>
          </w:tcPr>
          <w:p w:rsidR="00D00A7D" w:rsidRDefault="00D00A7D"/>
        </w:tc>
        <w:tc>
          <w:tcPr>
            <w:tcW w:w="3192" w:type="dxa"/>
          </w:tcPr>
          <w:p w:rsidR="00D00A7D" w:rsidRDefault="00D00A7D"/>
        </w:tc>
        <w:tc>
          <w:tcPr>
            <w:tcW w:w="3192" w:type="dxa"/>
          </w:tcPr>
          <w:p w:rsidR="00D00A7D" w:rsidRDefault="00D00A7D"/>
        </w:tc>
      </w:tr>
      <w:tr w:rsidR="00D00A7D" w:rsidTr="00D00A7D">
        <w:tc>
          <w:tcPr>
            <w:tcW w:w="3192" w:type="dxa"/>
          </w:tcPr>
          <w:p w:rsidR="00D00A7D" w:rsidRPr="00D00A7D" w:rsidRDefault="00D00A7D">
            <w:r>
              <w:rPr>
                <w:b/>
              </w:rPr>
              <w:t>Appeals</w:t>
            </w:r>
          </w:p>
        </w:tc>
        <w:tc>
          <w:tcPr>
            <w:tcW w:w="3192" w:type="dxa"/>
          </w:tcPr>
          <w:p w:rsidR="00D00A7D" w:rsidRDefault="00D00A7D"/>
        </w:tc>
        <w:tc>
          <w:tcPr>
            <w:tcW w:w="3192" w:type="dxa"/>
          </w:tcPr>
          <w:p w:rsidR="00D00A7D" w:rsidRDefault="00D00A7D"/>
        </w:tc>
      </w:tr>
      <w:tr w:rsidR="0063032F" w:rsidTr="00F8551F">
        <w:tc>
          <w:tcPr>
            <w:tcW w:w="9576" w:type="dxa"/>
            <w:gridSpan w:val="3"/>
          </w:tcPr>
          <w:p w:rsidR="0063032F" w:rsidRDefault="0063032F">
            <w:r>
              <w:t>Appeals to Court of Appeals</w:t>
            </w:r>
          </w:p>
        </w:tc>
      </w:tr>
      <w:tr w:rsidR="00D00A7D" w:rsidTr="00D00A7D">
        <w:tc>
          <w:tcPr>
            <w:tcW w:w="3192" w:type="dxa"/>
          </w:tcPr>
          <w:p w:rsidR="00D00A7D" w:rsidRDefault="00D00A7D">
            <w:r>
              <w:t>Final Judgment/Order</w:t>
            </w:r>
          </w:p>
        </w:tc>
        <w:tc>
          <w:tcPr>
            <w:tcW w:w="3192" w:type="dxa"/>
          </w:tcPr>
          <w:p w:rsidR="00D00A7D" w:rsidRDefault="00115B47">
            <w:r>
              <w:t>Illinois Sup. Ct. Rule 303(a)(1)</w:t>
            </w:r>
          </w:p>
        </w:tc>
        <w:tc>
          <w:tcPr>
            <w:tcW w:w="3192" w:type="dxa"/>
          </w:tcPr>
          <w:p w:rsidR="00D00A7D" w:rsidRDefault="00115B47">
            <w:r>
              <w:t>Notice of appeal must be filed with the clerk of the circuit court within 30 days after entry of the final judgment appealed from.</w:t>
            </w:r>
          </w:p>
        </w:tc>
      </w:tr>
      <w:tr w:rsidR="00D00A7D" w:rsidTr="00D00A7D">
        <w:tc>
          <w:tcPr>
            <w:tcW w:w="3192" w:type="dxa"/>
          </w:tcPr>
          <w:p w:rsidR="00D00A7D" w:rsidRDefault="00D00A7D">
            <w:r>
              <w:t>Non-Final Judgment/Order</w:t>
            </w:r>
          </w:p>
        </w:tc>
        <w:tc>
          <w:tcPr>
            <w:tcW w:w="3192" w:type="dxa"/>
          </w:tcPr>
          <w:p w:rsidR="00D00A7D" w:rsidRDefault="004C2EFB">
            <w:r>
              <w:t>Illinois Sup. Ct. Rule 307(</w:t>
            </w:r>
            <w:r w:rsidR="00F018B7">
              <w:t>a)(7)</w:t>
            </w:r>
          </w:p>
        </w:tc>
        <w:tc>
          <w:tcPr>
            <w:tcW w:w="3192" w:type="dxa"/>
          </w:tcPr>
          <w:p w:rsidR="00D00A7D" w:rsidRDefault="00F018B7">
            <w:r>
              <w:t>Except for motions to vacate and appeals of temporary restraining orders, the appeal must be perfected within 30 days from the entry of the interlocutory order.</w:t>
            </w:r>
          </w:p>
        </w:tc>
      </w:tr>
      <w:tr w:rsidR="00D00A7D" w:rsidTr="00D00A7D">
        <w:tc>
          <w:tcPr>
            <w:tcW w:w="3192" w:type="dxa"/>
          </w:tcPr>
          <w:p w:rsidR="00D00A7D" w:rsidRDefault="00D00A7D">
            <w:r>
              <w:t>Appeals to Supreme Court</w:t>
            </w:r>
          </w:p>
        </w:tc>
        <w:tc>
          <w:tcPr>
            <w:tcW w:w="3192" w:type="dxa"/>
          </w:tcPr>
          <w:p w:rsidR="00D00A7D" w:rsidRDefault="00F018B7">
            <w:r>
              <w:t>Illinois Sup. Ct. Rule 315(b)(1)</w:t>
            </w:r>
          </w:p>
        </w:tc>
        <w:tc>
          <w:tcPr>
            <w:tcW w:w="3192" w:type="dxa"/>
          </w:tcPr>
          <w:p w:rsidR="00D00A7D" w:rsidRDefault="00F018B7">
            <w:r>
              <w:t>A party seeking leave to appeal must file the petition for leave in the Supreme Court within 35 days after the entry of such judgment.</w:t>
            </w:r>
          </w:p>
        </w:tc>
      </w:tr>
      <w:tr w:rsidR="00D00A7D" w:rsidTr="00D00A7D">
        <w:tc>
          <w:tcPr>
            <w:tcW w:w="3192" w:type="dxa"/>
          </w:tcPr>
          <w:p w:rsidR="00D00A7D" w:rsidRDefault="00D00A7D"/>
        </w:tc>
        <w:tc>
          <w:tcPr>
            <w:tcW w:w="3192" w:type="dxa"/>
          </w:tcPr>
          <w:p w:rsidR="00D00A7D" w:rsidRDefault="00D00A7D"/>
        </w:tc>
        <w:tc>
          <w:tcPr>
            <w:tcW w:w="3192" w:type="dxa"/>
          </w:tcPr>
          <w:p w:rsidR="00D00A7D" w:rsidRDefault="00D00A7D"/>
        </w:tc>
      </w:tr>
      <w:tr w:rsidR="00D00A7D" w:rsidTr="00D00A7D">
        <w:tc>
          <w:tcPr>
            <w:tcW w:w="3192" w:type="dxa"/>
          </w:tcPr>
          <w:p w:rsidR="00D00A7D" w:rsidRPr="00034A88" w:rsidRDefault="00034A88">
            <w:r>
              <w:rPr>
                <w:b/>
              </w:rPr>
              <w:t>Insurance Issues</w:t>
            </w:r>
          </w:p>
        </w:tc>
        <w:tc>
          <w:tcPr>
            <w:tcW w:w="3192" w:type="dxa"/>
          </w:tcPr>
          <w:p w:rsidR="00D00A7D" w:rsidRDefault="00D00A7D"/>
        </w:tc>
        <w:tc>
          <w:tcPr>
            <w:tcW w:w="3192" w:type="dxa"/>
          </w:tcPr>
          <w:p w:rsidR="00D00A7D" w:rsidRDefault="00D00A7D"/>
        </w:tc>
      </w:tr>
      <w:tr w:rsidR="00D00A7D" w:rsidTr="00D00A7D">
        <w:tc>
          <w:tcPr>
            <w:tcW w:w="3192" w:type="dxa"/>
          </w:tcPr>
          <w:p w:rsidR="00D00A7D" w:rsidRDefault="00034A88">
            <w:r>
              <w:t>Financial Responsibility Limits</w:t>
            </w:r>
          </w:p>
        </w:tc>
        <w:tc>
          <w:tcPr>
            <w:tcW w:w="3192" w:type="dxa"/>
          </w:tcPr>
          <w:p w:rsidR="00D00A7D" w:rsidRDefault="00F018B7">
            <w:r>
              <w:t>625 ILCS 5/7-203</w:t>
            </w:r>
          </w:p>
        </w:tc>
        <w:tc>
          <w:tcPr>
            <w:tcW w:w="3192" w:type="dxa"/>
          </w:tcPr>
          <w:p w:rsidR="00D00A7D" w:rsidRDefault="00F018B7">
            <w:r>
              <w:t>Bodily Injury to one person: 25K; bodily injury to two or more persons: 50K; property damage 20K</w:t>
            </w:r>
          </w:p>
        </w:tc>
      </w:tr>
      <w:tr w:rsidR="00D00A7D" w:rsidTr="00D00A7D">
        <w:tc>
          <w:tcPr>
            <w:tcW w:w="3192" w:type="dxa"/>
          </w:tcPr>
          <w:p w:rsidR="00D00A7D" w:rsidRDefault="00034A88">
            <w:r>
              <w:t>U</w:t>
            </w:r>
            <w:r w:rsidR="00F018B7">
              <w:t xml:space="preserve">ninsured </w:t>
            </w:r>
            <w:r>
              <w:t>M</w:t>
            </w:r>
            <w:r w:rsidR="00F018B7">
              <w:t>otorist</w:t>
            </w:r>
          </w:p>
        </w:tc>
        <w:tc>
          <w:tcPr>
            <w:tcW w:w="3192" w:type="dxa"/>
          </w:tcPr>
          <w:p w:rsidR="00D00A7D" w:rsidRDefault="00C3712A">
            <w:r>
              <w:t>215 ILCS 5/143a</w:t>
            </w:r>
          </w:p>
        </w:tc>
        <w:tc>
          <w:tcPr>
            <w:tcW w:w="3192" w:type="dxa"/>
          </w:tcPr>
          <w:p w:rsidR="00D00A7D" w:rsidRDefault="00F018B7">
            <w:r>
              <w:t>20K per person; 40K per accident</w:t>
            </w:r>
          </w:p>
        </w:tc>
      </w:tr>
      <w:tr w:rsidR="00D00A7D" w:rsidTr="00D00A7D">
        <w:tc>
          <w:tcPr>
            <w:tcW w:w="3192" w:type="dxa"/>
          </w:tcPr>
          <w:p w:rsidR="00D00A7D" w:rsidRDefault="00F018B7">
            <w:r>
              <w:t>Underinsured Motorist</w:t>
            </w:r>
          </w:p>
        </w:tc>
        <w:tc>
          <w:tcPr>
            <w:tcW w:w="3192" w:type="dxa"/>
          </w:tcPr>
          <w:p w:rsidR="00D00A7D" w:rsidRDefault="003E0C63">
            <w:r>
              <w:t>215 ILCS 5/143a-2(4)</w:t>
            </w:r>
          </w:p>
        </w:tc>
        <w:tc>
          <w:tcPr>
            <w:tcW w:w="3192" w:type="dxa"/>
          </w:tcPr>
          <w:p w:rsidR="00D00A7D" w:rsidRDefault="003E0C63">
            <w:r>
              <w:t>Equal in amount to uninsured motorist.</w:t>
            </w:r>
          </w:p>
        </w:tc>
      </w:tr>
      <w:tr w:rsidR="00D00A7D" w:rsidTr="00D00A7D">
        <w:tc>
          <w:tcPr>
            <w:tcW w:w="3192" w:type="dxa"/>
          </w:tcPr>
          <w:p w:rsidR="00D00A7D" w:rsidRDefault="00034A88">
            <w:r>
              <w:t>Resident-Relative Homeowner’s Exclusion</w:t>
            </w:r>
          </w:p>
        </w:tc>
        <w:tc>
          <w:tcPr>
            <w:tcW w:w="3192" w:type="dxa"/>
          </w:tcPr>
          <w:p w:rsidR="00D00A7D" w:rsidRDefault="00D00A7D"/>
        </w:tc>
        <w:tc>
          <w:tcPr>
            <w:tcW w:w="3192" w:type="dxa"/>
          </w:tcPr>
          <w:p w:rsidR="00D00A7D" w:rsidRDefault="003E0C63">
            <w:r>
              <w:t xml:space="preserve">Exclusion is permitted. Includes resident relatives of the named insured’s household.  </w:t>
            </w:r>
            <w:r>
              <w:rPr>
                <w:u w:val="single"/>
              </w:rPr>
              <w:t xml:space="preserve">Cincinnati Ins. Co. v. </w:t>
            </w:r>
            <w:proofErr w:type="spellStart"/>
            <w:r>
              <w:rPr>
                <w:u w:val="single"/>
              </w:rPr>
              <w:t>Argubright</w:t>
            </w:r>
            <w:proofErr w:type="spellEnd"/>
            <w:r>
              <w:t xml:space="preserve">, 151 Ill. App. 3d 324, 331 (1986).  </w:t>
            </w:r>
            <w:r>
              <w:lastRenderedPageBreak/>
              <w:t xml:space="preserve">However, “resident of the household” has no fixed meaning and the reasonable interpretation of the phrase is determined in a case-by-case considering intent, physical presence, and permanency of abode.  </w:t>
            </w:r>
            <w:r>
              <w:rPr>
                <w:u w:val="single"/>
              </w:rPr>
              <w:t xml:space="preserve">Farmers Auto. Ins. Assoc. v. </w:t>
            </w:r>
            <w:proofErr w:type="spellStart"/>
            <w:r>
              <w:rPr>
                <w:u w:val="single"/>
              </w:rPr>
              <w:t>Gitelson</w:t>
            </w:r>
            <w:proofErr w:type="spellEnd"/>
            <w:r>
              <w:t xml:space="preserve">, 344 Ill. App. 3d 888 (2003). </w:t>
            </w:r>
          </w:p>
        </w:tc>
      </w:tr>
      <w:tr w:rsidR="00034A88" w:rsidTr="00D00A7D">
        <w:tc>
          <w:tcPr>
            <w:tcW w:w="3192" w:type="dxa"/>
          </w:tcPr>
          <w:p w:rsidR="00034A88" w:rsidRDefault="00034A88">
            <w:r>
              <w:lastRenderedPageBreak/>
              <w:t>Bad Faith</w:t>
            </w:r>
          </w:p>
        </w:tc>
        <w:tc>
          <w:tcPr>
            <w:tcW w:w="3192" w:type="dxa"/>
          </w:tcPr>
          <w:p w:rsidR="00034A88" w:rsidRDefault="003E0C63">
            <w:r>
              <w:t>Common Law</w:t>
            </w:r>
          </w:p>
        </w:tc>
        <w:tc>
          <w:tcPr>
            <w:tcW w:w="3192" w:type="dxa"/>
          </w:tcPr>
          <w:p w:rsidR="00034A88" w:rsidRPr="00490187" w:rsidRDefault="003E0C63" w:rsidP="00490187">
            <w:r>
              <w:t xml:space="preserve">Every insurance contract has an implied duty of good faith and fair dealing.  </w:t>
            </w:r>
            <w:r w:rsidR="00490187">
              <w:rPr>
                <w:u w:val="single"/>
              </w:rPr>
              <w:t>Cramer v. Ins. Exchange. Agency</w:t>
            </w:r>
            <w:r w:rsidR="00490187">
              <w:t xml:space="preserve">, 675 N.E.2d 897 (Ill. 1996).  An insured has a cause of action if this duty is breached.  </w:t>
            </w:r>
            <w:proofErr w:type="spellStart"/>
            <w:r w:rsidR="00490187">
              <w:rPr>
                <w:u w:val="single"/>
              </w:rPr>
              <w:t>Haddick</w:t>
            </w:r>
            <w:proofErr w:type="spellEnd"/>
            <w:r w:rsidR="00490187">
              <w:rPr>
                <w:u w:val="single"/>
              </w:rPr>
              <w:t xml:space="preserve"> v. Valor Ins.</w:t>
            </w:r>
            <w:r w:rsidR="00490187">
              <w:t>, 763 N.E.2d 299 (Ill. 2001).</w:t>
            </w:r>
          </w:p>
        </w:tc>
      </w:tr>
      <w:tr w:rsidR="00D00A7D" w:rsidTr="00D00A7D">
        <w:tc>
          <w:tcPr>
            <w:tcW w:w="3192" w:type="dxa"/>
          </w:tcPr>
          <w:p w:rsidR="00D00A7D" w:rsidRDefault="00034A88">
            <w:r>
              <w:t>No-Faul</w:t>
            </w:r>
            <w:r w:rsidR="00174B46">
              <w:t>t</w:t>
            </w:r>
          </w:p>
        </w:tc>
        <w:tc>
          <w:tcPr>
            <w:tcW w:w="3192" w:type="dxa"/>
          </w:tcPr>
          <w:p w:rsidR="00D00A7D" w:rsidRDefault="00491771" w:rsidP="00491771">
            <w:r>
              <w:t>735 ILCS 5/2-1116</w:t>
            </w:r>
          </w:p>
        </w:tc>
        <w:tc>
          <w:tcPr>
            <w:tcW w:w="3192" w:type="dxa"/>
          </w:tcPr>
          <w:p w:rsidR="00D00A7D" w:rsidRDefault="00491771">
            <w:r>
              <w:t>N/A Illinois is a comparative fault state.</w:t>
            </w:r>
          </w:p>
        </w:tc>
      </w:tr>
    </w:tbl>
    <w:p w:rsidR="004123A8" w:rsidRDefault="000E2D39"/>
    <w:sectPr w:rsidR="0041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7D"/>
    <w:rsid w:val="00034A88"/>
    <w:rsid w:val="000E2D39"/>
    <w:rsid w:val="00103366"/>
    <w:rsid w:val="00115B47"/>
    <w:rsid w:val="00145A83"/>
    <w:rsid w:val="00174B46"/>
    <w:rsid w:val="003018E1"/>
    <w:rsid w:val="00364CDB"/>
    <w:rsid w:val="003E0C63"/>
    <w:rsid w:val="00490187"/>
    <w:rsid w:val="00491771"/>
    <w:rsid w:val="004A4ABE"/>
    <w:rsid w:val="004C2EFB"/>
    <w:rsid w:val="004E4D39"/>
    <w:rsid w:val="0060757D"/>
    <w:rsid w:val="0063032F"/>
    <w:rsid w:val="00633AC8"/>
    <w:rsid w:val="00652330"/>
    <w:rsid w:val="006E460C"/>
    <w:rsid w:val="0077343E"/>
    <w:rsid w:val="008103E9"/>
    <w:rsid w:val="008C1096"/>
    <w:rsid w:val="00904A3A"/>
    <w:rsid w:val="00A24F7D"/>
    <w:rsid w:val="00A44736"/>
    <w:rsid w:val="00AB398A"/>
    <w:rsid w:val="00AD1F06"/>
    <w:rsid w:val="00BA4CF4"/>
    <w:rsid w:val="00BB2DA6"/>
    <w:rsid w:val="00BD4FAB"/>
    <w:rsid w:val="00C3712A"/>
    <w:rsid w:val="00CA1FE1"/>
    <w:rsid w:val="00CB47D1"/>
    <w:rsid w:val="00CC4C63"/>
    <w:rsid w:val="00D00A7D"/>
    <w:rsid w:val="00DE00FC"/>
    <w:rsid w:val="00DE6C6D"/>
    <w:rsid w:val="00EC4D55"/>
    <w:rsid w:val="00F018B7"/>
    <w:rsid w:val="00F27B82"/>
    <w:rsid w:val="00F3431D"/>
    <w:rsid w:val="00F55B2B"/>
    <w:rsid w:val="00F9635F"/>
    <w:rsid w:val="00FB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A7D"/>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HeaderChar">
    <w:name w:val="Header Char"/>
    <w:basedOn w:val="DefaultParagraphFont"/>
    <w:link w:val="Header"/>
    <w:rsid w:val="00D00A7D"/>
    <w:rPr>
      <w:rFonts w:ascii="Times" w:eastAsia="Times New Roman" w:hAnsi="Times" w:cs="Times New Roman"/>
      <w:sz w:val="24"/>
      <w:szCs w:val="20"/>
    </w:rPr>
  </w:style>
  <w:style w:type="paragraph" w:styleId="Footer">
    <w:name w:val="footer"/>
    <w:basedOn w:val="Normal"/>
    <w:link w:val="FooterChar"/>
    <w:rsid w:val="00D00A7D"/>
    <w:pPr>
      <w:tabs>
        <w:tab w:val="center" w:pos="4320"/>
        <w:tab w:val="right" w:pos="8640"/>
      </w:tabs>
    </w:pPr>
  </w:style>
  <w:style w:type="character" w:customStyle="1" w:styleId="FooterChar">
    <w:name w:val="Footer Char"/>
    <w:basedOn w:val="DefaultParagraphFont"/>
    <w:link w:val="Footer"/>
    <w:rsid w:val="00D00A7D"/>
    <w:rPr>
      <w:rFonts w:ascii="Arial" w:eastAsia="Times New Roman" w:hAnsi="Arial" w:cs="Times New Roman"/>
      <w:sz w:val="24"/>
      <w:szCs w:val="24"/>
    </w:rPr>
  </w:style>
  <w:style w:type="table" w:styleId="TableGrid">
    <w:name w:val="Table Grid"/>
    <w:basedOn w:val="TableNormal"/>
    <w:uiPriority w:val="59"/>
    <w:rsid w:val="00D0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CA1FE1"/>
    <w:rPr>
      <w:rFonts w:ascii="Courier New" w:eastAsia="Times New Roman" w:hAnsi="Courier New" w:cs="Courier New"/>
      <w:sz w:val="20"/>
      <w:szCs w:val="20"/>
    </w:rPr>
  </w:style>
  <w:style w:type="character" w:customStyle="1" w:styleId="apple-converted-space">
    <w:name w:val="apple-converted-space"/>
    <w:basedOn w:val="DefaultParagraphFont"/>
    <w:rsid w:val="00CA1FE1"/>
  </w:style>
  <w:style w:type="paragraph" w:styleId="BalloonText">
    <w:name w:val="Balloon Text"/>
    <w:basedOn w:val="Normal"/>
    <w:link w:val="BalloonTextChar"/>
    <w:uiPriority w:val="99"/>
    <w:semiHidden/>
    <w:unhideWhenUsed/>
    <w:rsid w:val="00F3431D"/>
    <w:rPr>
      <w:rFonts w:ascii="Tahoma" w:hAnsi="Tahoma" w:cs="Tahoma"/>
      <w:sz w:val="16"/>
      <w:szCs w:val="16"/>
    </w:rPr>
  </w:style>
  <w:style w:type="character" w:customStyle="1" w:styleId="BalloonTextChar">
    <w:name w:val="Balloon Text Char"/>
    <w:basedOn w:val="DefaultParagraphFont"/>
    <w:link w:val="BalloonText"/>
    <w:uiPriority w:val="99"/>
    <w:semiHidden/>
    <w:rsid w:val="00F34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A7D"/>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HeaderChar">
    <w:name w:val="Header Char"/>
    <w:basedOn w:val="DefaultParagraphFont"/>
    <w:link w:val="Header"/>
    <w:rsid w:val="00D00A7D"/>
    <w:rPr>
      <w:rFonts w:ascii="Times" w:eastAsia="Times New Roman" w:hAnsi="Times" w:cs="Times New Roman"/>
      <w:sz w:val="24"/>
      <w:szCs w:val="20"/>
    </w:rPr>
  </w:style>
  <w:style w:type="paragraph" w:styleId="Footer">
    <w:name w:val="footer"/>
    <w:basedOn w:val="Normal"/>
    <w:link w:val="FooterChar"/>
    <w:rsid w:val="00D00A7D"/>
    <w:pPr>
      <w:tabs>
        <w:tab w:val="center" w:pos="4320"/>
        <w:tab w:val="right" w:pos="8640"/>
      </w:tabs>
    </w:pPr>
  </w:style>
  <w:style w:type="character" w:customStyle="1" w:styleId="FooterChar">
    <w:name w:val="Footer Char"/>
    <w:basedOn w:val="DefaultParagraphFont"/>
    <w:link w:val="Footer"/>
    <w:rsid w:val="00D00A7D"/>
    <w:rPr>
      <w:rFonts w:ascii="Arial" w:eastAsia="Times New Roman" w:hAnsi="Arial" w:cs="Times New Roman"/>
      <w:sz w:val="24"/>
      <w:szCs w:val="24"/>
    </w:rPr>
  </w:style>
  <w:style w:type="table" w:styleId="TableGrid">
    <w:name w:val="Table Grid"/>
    <w:basedOn w:val="TableNormal"/>
    <w:uiPriority w:val="59"/>
    <w:rsid w:val="00D0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CA1FE1"/>
    <w:rPr>
      <w:rFonts w:ascii="Courier New" w:eastAsia="Times New Roman" w:hAnsi="Courier New" w:cs="Courier New"/>
      <w:sz w:val="20"/>
      <w:szCs w:val="20"/>
    </w:rPr>
  </w:style>
  <w:style w:type="character" w:customStyle="1" w:styleId="apple-converted-space">
    <w:name w:val="apple-converted-space"/>
    <w:basedOn w:val="DefaultParagraphFont"/>
    <w:rsid w:val="00CA1FE1"/>
  </w:style>
  <w:style w:type="paragraph" w:styleId="BalloonText">
    <w:name w:val="Balloon Text"/>
    <w:basedOn w:val="Normal"/>
    <w:link w:val="BalloonTextChar"/>
    <w:uiPriority w:val="99"/>
    <w:semiHidden/>
    <w:unhideWhenUsed/>
    <w:rsid w:val="00F3431D"/>
    <w:rPr>
      <w:rFonts w:ascii="Tahoma" w:hAnsi="Tahoma" w:cs="Tahoma"/>
      <w:sz w:val="16"/>
      <w:szCs w:val="16"/>
    </w:rPr>
  </w:style>
  <w:style w:type="character" w:customStyle="1" w:styleId="BalloonTextChar">
    <w:name w:val="Balloon Text Char"/>
    <w:basedOn w:val="DefaultParagraphFont"/>
    <w:link w:val="BalloonText"/>
    <w:uiPriority w:val="99"/>
    <w:semiHidden/>
    <w:rsid w:val="00F34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dc:creator>
  <cp:lastModifiedBy>Andrew Wood</cp:lastModifiedBy>
  <cp:revision>15</cp:revision>
  <cp:lastPrinted>2015-12-01T22:47:00Z</cp:lastPrinted>
  <dcterms:created xsi:type="dcterms:W3CDTF">2015-11-19T21:22:00Z</dcterms:created>
  <dcterms:modified xsi:type="dcterms:W3CDTF">2015-12-03T20:29:00Z</dcterms:modified>
</cp:coreProperties>
</file>